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方正小标宋简体" w:hAnsi="方正小标宋简体" w:eastAsia="方正小标宋简体" w:cs="方正小标宋简体"/>
          <w:sz w:val="36"/>
          <w:szCs w:val="36"/>
        </w:rPr>
      </w:pPr>
      <w:bookmarkStart w:id="0" w:name="标题"/>
      <w:r>
        <w:rPr>
          <w:rFonts w:hint="eastAsia" w:ascii="方正小标宋简体" w:hAnsi="方正小标宋简体" w:eastAsia="方正小标宋简体" w:cs="方正小标宋简体"/>
          <w:sz w:val="36"/>
          <w:szCs w:val="36"/>
        </w:rPr>
        <w:t>浙江柯桥联合村镇银行股份有限公司</w:t>
      </w:r>
    </w:p>
    <w:p>
      <w:pPr>
        <w:keepNext w:val="0"/>
        <w:keepLines w:val="0"/>
        <w:pageBreakBefore w:val="0"/>
        <w:widowControl w:val="0"/>
        <w:kinsoku/>
        <w:wordWrap/>
        <w:overflowPunct/>
        <w:topLinePunct w:val="0"/>
        <w:autoSpaceDE/>
        <w:autoSpaceDN/>
        <w:bidi w:val="0"/>
        <w:spacing w:line="600" w:lineRule="exact"/>
        <w:jc w:val="center"/>
        <w:textAlignment w:val="auto"/>
        <w:rPr>
          <w:rFonts w:ascii="仿宋_GB2312" w:hAnsi="宋体" w:eastAsia="仿宋_GB2312"/>
          <w:sz w:val="30"/>
          <w:szCs w:val="30"/>
        </w:rPr>
      </w:pPr>
      <w:r>
        <w:rPr>
          <w:rFonts w:hint="eastAsia" w:ascii="方正小标宋简体" w:hAnsi="方正小标宋简体" w:eastAsia="方正小标宋简体" w:cs="方正小标宋简体"/>
          <w:sz w:val="36"/>
          <w:szCs w:val="36"/>
        </w:rPr>
        <w:t>2022年度信息披露报告</w:t>
      </w:r>
      <w:bookmarkEnd w:id="0"/>
    </w:p>
    <w:p>
      <w:pPr>
        <w:spacing w:line="560" w:lineRule="exact"/>
        <w:ind w:firstLine="640" w:firstLineChars="200"/>
        <w:rPr>
          <w:rFonts w:hint="eastAsia" w:ascii="仿宋_GB2312" w:hAnsi="仿宋_GB2312" w:eastAsia="仿宋_GB2312" w:cs="仿宋_GB2312"/>
          <w:sz w:val="32"/>
          <w:szCs w:val="32"/>
          <w:highlight w:val="none"/>
        </w:rPr>
      </w:pP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银行业金融机构外部审计监管指引》（银监发[2010]73号）、《商业银行信息披露办法》（中国银行业监督管理委员会令[2007]7号）、《中国银保监会关于印发银行保险机构公司治理准则的通知》（银保监发[2021]14号）等文件的有关规定，浙江柯桥联合村镇银行股份有限公司（以下简称“本行”）对2022年度进行信息披露。</w:t>
      </w:r>
    </w:p>
    <w:p>
      <w:pPr>
        <w:spacing w:line="560" w:lineRule="exact"/>
        <w:ind w:firstLine="600" w:firstLineChars="200"/>
        <w:rPr>
          <w:rFonts w:ascii="黑体" w:hAnsi="黑体" w:eastAsia="黑体" w:cs="黑体"/>
          <w:bCs/>
          <w:sz w:val="30"/>
          <w:szCs w:val="30"/>
          <w:highlight w:val="none"/>
        </w:rPr>
      </w:pPr>
      <w:r>
        <w:rPr>
          <w:rFonts w:hint="eastAsia" w:ascii="黑体" w:hAnsi="黑体" w:eastAsia="黑体" w:cs="黑体"/>
          <w:bCs/>
          <w:kern w:val="0"/>
          <w:sz w:val="30"/>
          <w:szCs w:val="30"/>
          <w:highlight w:val="none"/>
        </w:rPr>
        <w:t>一、</w:t>
      </w:r>
      <w:r>
        <w:rPr>
          <w:rFonts w:hint="eastAsia" w:ascii="黑体" w:hAnsi="黑体" w:eastAsia="黑体" w:cs="黑体"/>
          <w:bCs/>
          <w:sz w:val="30"/>
          <w:szCs w:val="30"/>
          <w:highlight w:val="none"/>
        </w:rPr>
        <w:t>重要提示</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本行董事会保证本报告所载资料不存在任何虚假记载、误导性陈述或者重大遗漏，并对其内容的真实性、准确性和完整性承担个别及连带责任。</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本行年度财务报告已经中汇会计师事务所（特殊普通合伙）根据中国注册会计师独立审计准则审计并出具了标准无保留意见的审计报告。</w:t>
      </w:r>
    </w:p>
    <w:p>
      <w:pPr>
        <w:spacing w:line="560" w:lineRule="exact"/>
        <w:ind w:firstLine="600" w:firstLineChars="200"/>
        <w:rPr>
          <w:rFonts w:ascii="黑体" w:hAnsi="黑体" w:eastAsia="黑体" w:cs="黑体"/>
          <w:bCs/>
          <w:kern w:val="0"/>
          <w:sz w:val="30"/>
          <w:szCs w:val="30"/>
          <w:highlight w:val="none"/>
        </w:rPr>
      </w:pPr>
      <w:r>
        <w:rPr>
          <w:rFonts w:hint="eastAsia" w:ascii="黑体" w:hAnsi="黑体" w:eastAsia="黑体" w:cs="黑体"/>
          <w:bCs/>
          <w:kern w:val="0"/>
          <w:sz w:val="30"/>
          <w:szCs w:val="30"/>
          <w:highlight w:val="none"/>
        </w:rPr>
        <w:t>二、公司简介</w:t>
      </w:r>
    </w:p>
    <w:p>
      <w:pPr>
        <w:spacing w:line="560" w:lineRule="exact"/>
        <w:ind w:firstLine="643" w:firstLineChars="200"/>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（一）法定名称</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中文名称：浙江柯桥联合村镇银行股份有限公司（简称“柯桥联合村镇银行”）</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英文名称：Zhejiang keqiao UnitedRuralBank</w:t>
      </w:r>
    </w:p>
    <w:p>
      <w:pPr>
        <w:spacing w:line="560" w:lineRule="exact"/>
        <w:ind w:firstLine="643" w:firstLineChars="200"/>
        <w:rPr>
          <w:rFonts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rPr>
        <w:t>（二）法定代表人：</w:t>
      </w:r>
      <w:r>
        <w:rPr>
          <w:rFonts w:hint="eastAsia" w:ascii="仿宋_GB2312" w:hAnsi="仿宋_GB2312" w:eastAsia="仿宋_GB2312" w:cs="仿宋_GB2312"/>
          <w:sz w:val="32"/>
          <w:szCs w:val="32"/>
          <w:highlight w:val="none"/>
        </w:rPr>
        <w:t>周荣华</w:t>
      </w:r>
    </w:p>
    <w:p>
      <w:pPr>
        <w:spacing w:line="560" w:lineRule="exact"/>
        <w:ind w:firstLine="643" w:firstLineChars="200"/>
        <w:rPr>
          <w:rFonts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rPr>
        <w:t>（三）本行注册及办公地址：</w:t>
      </w:r>
      <w:r>
        <w:rPr>
          <w:rFonts w:hint="eastAsia" w:ascii="仿宋_GB2312" w:hAnsi="仿宋_GB2312" w:eastAsia="仿宋_GB2312" w:cs="仿宋_GB2312"/>
          <w:sz w:val="32"/>
          <w:szCs w:val="32"/>
          <w:highlight w:val="none"/>
        </w:rPr>
        <w:t>浙江省绍兴市柯桥区齐贤街道湖中路1345号赢和欐都大厦1幢102-103、201-203、301-306室。</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邮政编码：312030</w:t>
      </w:r>
    </w:p>
    <w:p>
      <w:pPr>
        <w:spacing w:line="560" w:lineRule="exact"/>
        <w:ind w:firstLine="643" w:firstLineChars="200"/>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（四）本行选定的信息披露方式：</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信息披露报告摘要披露网站：www.kqurb.com</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信息披露报告备置地点：本行董事会办公室(综合管理部)及各主要营业场所</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联系电话：0571-81112028</w:t>
      </w:r>
    </w:p>
    <w:p>
      <w:pPr>
        <w:spacing w:line="560" w:lineRule="exact"/>
        <w:ind w:firstLine="643" w:firstLineChars="200"/>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（五）本行聘请的会计师事务所名称及其住址</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名称：中汇会计师事务所（特殊普通合伙）</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住址：中国·杭州</w:t>
      </w:r>
    </w:p>
    <w:p>
      <w:pPr>
        <w:spacing w:line="560" w:lineRule="exact"/>
        <w:ind w:firstLine="643" w:firstLineChars="200"/>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（六）其他有关资料：</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本行首次注册登记日期：2013年9月27日</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最近一次变更注册登记日期：2022年10月28日</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注册资金：人民币贰亿元整</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营业执照统一社会信用代码：91330600079723518N</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金融许可证编号：S0048H333060001</w:t>
      </w:r>
    </w:p>
    <w:p>
      <w:pPr>
        <w:spacing w:line="560" w:lineRule="exact"/>
        <w:ind w:firstLine="640" w:firstLineChars="200"/>
        <w:rPr>
          <w:rFonts w:ascii="黑体" w:hAnsi="黑体" w:eastAsia="黑体" w:cs="黑体"/>
          <w:bCs/>
          <w:sz w:val="32"/>
          <w:szCs w:val="32"/>
          <w:highlight w:val="none"/>
        </w:rPr>
      </w:pPr>
      <w:r>
        <w:rPr>
          <w:rFonts w:hint="eastAsia" w:ascii="黑体" w:hAnsi="黑体" w:eastAsia="黑体" w:cs="黑体"/>
          <w:bCs/>
          <w:sz w:val="32"/>
          <w:szCs w:val="32"/>
          <w:highlight w:val="none"/>
        </w:rPr>
        <w:t>三、财务会计报告</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本行以持续经营为基础，根据实际发生的交易和事项，按照《企业会计准则—基本准则》和其他各项具体会计准则的规定进行确认和计量，在此基础上编制财务报表。</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本行编制的财务报表符合企业会计准则的要求，真实、完整地反映了本行的财务状况、经营成果和现金流量等有关信息。</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本行年度财务报告经中汇会计师事务所(特殊普通合伙)根据中国注册会计师审计准则审计，并出具了无保留意见的审计报告。</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现就2022年度财务会计情况披露如下：</w:t>
      </w:r>
    </w:p>
    <w:p>
      <w:pPr>
        <w:spacing w:line="560" w:lineRule="exact"/>
        <w:ind w:firstLine="643" w:firstLineChars="200"/>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（一）会计报表：</w:t>
      </w:r>
    </w:p>
    <w:p>
      <w:pPr>
        <w:spacing w:line="560" w:lineRule="exact"/>
        <w:ind w:firstLine="643" w:firstLineChars="200"/>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1、资产负债表</w:t>
      </w:r>
    </w:p>
    <w:p>
      <w:pPr>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编制单位：浙江柯桥联合村镇银行股份有限公司</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编制月份：2022年12月            金额单位：人民币元</w:t>
      </w:r>
    </w:p>
    <w:tbl>
      <w:tblPr>
        <w:tblStyle w:val="11"/>
        <w:tblW w:w="11086" w:type="dxa"/>
        <w:jc w:val="center"/>
        <w:tblLayout w:type="fixed"/>
        <w:tblCellMar>
          <w:top w:w="0" w:type="dxa"/>
          <w:left w:w="108" w:type="dxa"/>
          <w:bottom w:w="0" w:type="dxa"/>
          <w:right w:w="108" w:type="dxa"/>
        </w:tblCellMar>
      </w:tblPr>
      <w:tblGrid>
        <w:gridCol w:w="1501"/>
        <w:gridCol w:w="1965"/>
        <w:gridCol w:w="1980"/>
        <w:gridCol w:w="1770"/>
        <w:gridCol w:w="1905"/>
        <w:gridCol w:w="1965"/>
      </w:tblGrid>
      <w:tr>
        <w:tblPrEx>
          <w:tblCellMar>
            <w:top w:w="0" w:type="dxa"/>
            <w:left w:w="108" w:type="dxa"/>
            <w:bottom w:w="0" w:type="dxa"/>
            <w:right w:w="108" w:type="dxa"/>
          </w:tblCellMar>
        </w:tblPrEx>
        <w:trPr>
          <w:trHeight w:val="300" w:hRule="atLeast"/>
          <w:jc w:val="center"/>
        </w:trPr>
        <w:tc>
          <w:tcPr>
            <w:tcW w:w="1501"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_GB2312" w:hAnsi="宋体" w:eastAsia="仿宋_GB2312" w:cs="仿宋_GB2312"/>
                <w:b/>
                <w:bCs/>
                <w:color w:val="000000"/>
                <w:szCs w:val="21"/>
                <w:highlight w:val="none"/>
              </w:rPr>
            </w:pPr>
            <w:r>
              <w:rPr>
                <w:rFonts w:hint="eastAsia" w:ascii="仿宋_GB2312" w:hAnsi="宋体" w:eastAsia="仿宋_GB2312" w:cs="仿宋_GB2312"/>
                <w:b/>
                <w:bCs/>
                <w:color w:val="000000"/>
                <w:kern w:val="0"/>
                <w:szCs w:val="21"/>
                <w:highlight w:val="none"/>
              </w:rPr>
              <w:t>资产</w:t>
            </w:r>
          </w:p>
        </w:tc>
        <w:tc>
          <w:tcPr>
            <w:tcW w:w="19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_GB2312" w:hAnsi="宋体" w:eastAsia="仿宋_GB2312" w:cs="仿宋_GB2312"/>
                <w:b/>
                <w:bCs/>
                <w:color w:val="000000"/>
                <w:szCs w:val="21"/>
                <w:highlight w:val="none"/>
              </w:rPr>
            </w:pPr>
            <w:r>
              <w:rPr>
                <w:rFonts w:hint="eastAsia" w:ascii="仿宋_GB2312" w:hAnsi="宋体" w:eastAsia="仿宋_GB2312" w:cs="仿宋_GB2312"/>
                <w:b/>
                <w:bCs/>
                <w:color w:val="000000"/>
                <w:kern w:val="0"/>
                <w:szCs w:val="21"/>
                <w:highlight w:val="none"/>
              </w:rPr>
              <w:t>期末数</w:t>
            </w:r>
          </w:p>
        </w:tc>
        <w:tc>
          <w:tcPr>
            <w:tcW w:w="198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_GB2312" w:hAnsi="宋体" w:eastAsia="仿宋_GB2312" w:cs="仿宋_GB2312"/>
                <w:b/>
                <w:bCs/>
                <w:color w:val="000000"/>
                <w:szCs w:val="21"/>
                <w:highlight w:val="none"/>
              </w:rPr>
            </w:pPr>
            <w:r>
              <w:rPr>
                <w:rFonts w:hint="eastAsia" w:ascii="仿宋_GB2312" w:hAnsi="宋体" w:eastAsia="仿宋_GB2312" w:cs="仿宋_GB2312"/>
                <w:b/>
                <w:bCs/>
                <w:color w:val="000000"/>
                <w:kern w:val="0"/>
                <w:szCs w:val="21"/>
                <w:highlight w:val="none"/>
              </w:rPr>
              <w:t>期初数</w:t>
            </w:r>
          </w:p>
        </w:tc>
        <w:tc>
          <w:tcPr>
            <w:tcW w:w="1770"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_GB2312" w:hAnsi="宋体" w:eastAsia="仿宋_GB2312" w:cs="仿宋_GB2312"/>
                <w:b/>
                <w:bCs/>
                <w:color w:val="000000"/>
                <w:szCs w:val="21"/>
                <w:highlight w:val="none"/>
              </w:rPr>
            </w:pPr>
            <w:r>
              <w:rPr>
                <w:rFonts w:hint="eastAsia" w:ascii="仿宋_GB2312" w:hAnsi="宋体" w:eastAsia="仿宋_GB2312" w:cs="仿宋_GB2312"/>
                <w:b/>
                <w:bCs/>
                <w:color w:val="000000"/>
                <w:kern w:val="0"/>
                <w:szCs w:val="21"/>
                <w:highlight w:val="none"/>
              </w:rPr>
              <w:t>负债和所有者权益</w:t>
            </w:r>
          </w:p>
        </w:tc>
        <w:tc>
          <w:tcPr>
            <w:tcW w:w="190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_GB2312" w:hAnsi="宋体" w:eastAsia="仿宋_GB2312" w:cs="仿宋_GB2312"/>
                <w:b/>
                <w:bCs/>
                <w:color w:val="000000"/>
                <w:szCs w:val="21"/>
                <w:highlight w:val="none"/>
              </w:rPr>
            </w:pPr>
            <w:r>
              <w:rPr>
                <w:rFonts w:hint="eastAsia" w:ascii="仿宋_GB2312" w:hAnsi="宋体" w:eastAsia="仿宋_GB2312" w:cs="仿宋_GB2312"/>
                <w:b/>
                <w:bCs/>
                <w:color w:val="000000"/>
                <w:kern w:val="0"/>
                <w:szCs w:val="21"/>
                <w:highlight w:val="none"/>
              </w:rPr>
              <w:t>期末数</w:t>
            </w:r>
          </w:p>
        </w:tc>
        <w:tc>
          <w:tcPr>
            <w:tcW w:w="1965" w:type="dxa"/>
            <w:tcBorders>
              <w:top w:val="single" w:color="000000" w:sz="8" w:space="0"/>
              <w:left w:val="single" w:color="000000" w:sz="8" w:space="0"/>
              <w:bottom w:val="single" w:color="000000" w:sz="8" w:space="0"/>
              <w:right w:val="single" w:color="000000" w:sz="8" w:space="0"/>
            </w:tcBorders>
            <w:noWrap/>
            <w:vAlign w:val="center"/>
          </w:tcPr>
          <w:p>
            <w:pPr>
              <w:widowControl/>
              <w:jc w:val="center"/>
              <w:textAlignment w:val="center"/>
              <w:rPr>
                <w:rFonts w:ascii="仿宋_GB2312" w:hAnsi="宋体" w:eastAsia="仿宋_GB2312" w:cs="仿宋_GB2312"/>
                <w:b/>
                <w:bCs/>
                <w:color w:val="000000"/>
                <w:szCs w:val="21"/>
                <w:highlight w:val="none"/>
              </w:rPr>
            </w:pPr>
            <w:r>
              <w:rPr>
                <w:rFonts w:hint="eastAsia" w:ascii="仿宋_GB2312" w:hAnsi="宋体" w:eastAsia="仿宋_GB2312" w:cs="仿宋_GB2312"/>
                <w:b/>
                <w:bCs/>
                <w:color w:val="000000"/>
                <w:kern w:val="0"/>
                <w:szCs w:val="21"/>
                <w:highlight w:val="none"/>
              </w:rPr>
              <w:t>期初数</w:t>
            </w:r>
          </w:p>
        </w:tc>
      </w:tr>
      <w:tr>
        <w:tblPrEx>
          <w:tblCellMar>
            <w:top w:w="0" w:type="dxa"/>
            <w:left w:w="108" w:type="dxa"/>
            <w:bottom w:w="0" w:type="dxa"/>
            <w:right w:w="108" w:type="dxa"/>
          </w:tblCellMar>
        </w:tblPrEx>
        <w:trPr>
          <w:trHeight w:val="300" w:hRule="atLeast"/>
          <w:jc w:val="center"/>
        </w:trPr>
        <w:tc>
          <w:tcPr>
            <w:tcW w:w="1501" w:type="dxa"/>
            <w:tcBorders>
              <w:top w:val="nil"/>
              <w:left w:val="single" w:color="000000" w:sz="8" w:space="0"/>
              <w:bottom w:val="single" w:color="000000" w:sz="8" w:space="0"/>
              <w:right w:val="single" w:color="000000" w:sz="8" w:space="0"/>
            </w:tcBorders>
            <w:noWrap/>
            <w:vAlign w:val="center"/>
          </w:tcPr>
          <w:p>
            <w:pPr>
              <w:widowControl/>
              <w:jc w:val="left"/>
              <w:textAlignment w:val="center"/>
              <w:rPr>
                <w:rFonts w:ascii="仿宋_GB2312" w:hAnsi="宋体" w:eastAsia="仿宋_GB2312" w:cs="仿宋_GB2312"/>
                <w:b/>
                <w:bCs/>
                <w:color w:val="000000"/>
                <w:szCs w:val="21"/>
                <w:highlight w:val="none"/>
              </w:rPr>
            </w:pPr>
            <w:r>
              <w:rPr>
                <w:rFonts w:hint="eastAsia" w:ascii="仿宋_GB2312" w:hAnsi="宋体" w:eastAsia="仿宋_GB2312" w:cs="仿宋_GB2312"/>
                <w:b/>
                <w:bCs/>
                <w:color w:val="000000"/>
                <w:kern w:val="0"/>
                <w:szCs w:val="21"/>
                <w:highlight w:val="none"/>
              </w:rPr>
              <w:t>资产：</w:t>
            </w:r>
          </w:p>
        </w:tc>
        <w:tc>
          <w:tcPr>
            <w:tcW w:w="1965" w:type="dxa"/>
            <w:tcBorders>
              <w:top w:val="nil"/>
              <w:left w:val="single" w:color="000000" w:sz="8" w:space="0"/>
              <w:bottom w:val="single" w:color="000000" w:sz="8" w:space="0"/>
              <w:right w:val="single" w:color="000000" w:sz="8" w:space="0"/>
            </w:tcBorders>
            <w:noWrap/>
            <w:vAlign w:val="bottom"/>
          </w:tcPr>
          <w:p>
            <w:pPr>
              <w:rPr>
                <w:rFonts w:ascii="仿宋_GB2312" w:hAnsi="宋体" w:eastAsia="仿宋_GB2312" w:cs="仿宋_GB2312"/>
                <w:color w:val="000000"/>
                <w:szCs w:val="21"/>
                <w:highlight w:val="none"/>
              </w:rPr>
            </w:pPr>
          </w:p>
        </w:tc>
        <w:tc>
          <w:tcPr>
            <w:tcW w:w="1980" w:type="dxa"/>
            <w:tcBorders>
              <w:top w:val="nil"/>
              <w:left w:val="single" w:color="000000" w:sz="8" w:space="0"/>
              <w:bottom w:val="single" w:color="000000" w:sz="8" w:space="0"/>
              <w:right w:val="single" w:color="000000" w:sz="8" w:space="0"/>
            </w:tcBorders>
            <w:noWrap/>
            <w:vAlign w:val="bottom"/>
          </w:tcPr>
          <w:p>
            <w:pPr>
              <w:rPr>
                <w:rFonts w:ascii="仿宋_GB2312" w:hAnsi="宋体" w:eastAsia="仿宋_GB2312" w:cs="仿宋_GB2312"/>
                <w:color w:val="000000"/>
                <w:szCs w:val="21"/>
                <w:highlight w:val="none"/>
              </w:rPr>
            </w:pPr>
          </w:p>
        </w:tc>
        <w:tc>
          <w:tcPr>
            <w:tcW w:w="1770" w:type="dxa"/>
            <w:tcBorders>
              <w:top w:val="nil"/>
              <w:left w:val="single" w:color="000000" w:sz="8" w:space="0"/>
              <w:bottom w:val="single" w:color="000000" w:sz="8" w:space="0"/>
              <w:right w:val="single" w:color="000000" w:sz="8" w:space="0"/>
            </w:tcBorders>
            <w:noWrap/>
            <w:vAlign w:val="bottom"/>
          </w:tcPr>
          <w:p>
            <w:pPr>
              <w:widowControl/>
              <w:textAlignment w:val="bottom"/>
              <w:rPr>
                <w:rFonts w:ascii="仿宋_GB2312" w:hAnsi="宋体" w:eastAsia="仿宋_GB2312" w:cs="仿宋_GB2312"/>
                <w:b/>
                <w:bCs/>
                <w:color w:val="000000"/>
                <w:szCs w:val="21"/>
                <w:highlight w:val="none"/>
              </w:rPr>
            </w:pPr>
            <w:r>
              <w:rPr>
                <w:rFonts w:hint="eastAsia" w:ascii="仿宋_GB2312" w:hAnsi="宋体" w:eastAsia="仿宋_GB2312" w:cs="仿宋_GB2312"/>
                <w:b/>
                <w:bCs/>
                <w:color w:val="000000"/>
                <w:kern w:val="0"/>
                <w:szCs w:val="21"/>
                <w:highlight w:val="none"/>
              </w:rPr>
              <w:t>负债：</w:t>
            </w:r>
          </w:p>
        </w:tc>
        <w:tc>
          <w:tcPr>
            <w:tcW w:w="1905" w:type="dxa"/>
            <w:tcBorders>
              <w:top w:val="nil"/>
              <w:left w:val="single" w:color="000000" w:sz="8" w:space="0"/>
              <w:bottom w:val="single" w:color="000000" w:sz="8" w:space="0"/>
              <w:right w:val="single" w:color="000000" w:sz="8" w:space="0"/>
            </w:tcBorders>
            <w:noWrap/>
            <w:vAlign w:val="bottom"/>
          </w:tcPr>
          <w:p>
            <w:pPr>
              <w:rPr>
                <w:rFonts w:ascii="仿宋_GB2312" w:hAnsi="宋体" w:eastAsia="仿宋_GB2312" w:cs="仿宋_GB2312"/>
                <w:color w:val="000000"/>
                <w:szCs w:val="21"/>
                <w:highlight w:val="none"/>
              </w:rPr>
            </w:pPr>
          </w:p>
        </w:tc>
        <w:tc>
          <w:tcPr>
            <w:tcW w:w="1965" w:type="dxa"/>
            <w:tcBorders>
              <w:top w:val="nil"/>
              <w:left w:val="single" w:color="000000" w:sz="8" w:space="0"/>
              <w:bottom w:val="single" w:color="000000" w:sz="8" w:space="0"/>
              <w:right w:val="single" w:color="000000" w:sz="8" w:space="0"/>
            </w:tcBorders>
            <w:noWrap/>
            <w:vAlign w:val="bottom"/>
          </w:tcPr>
          <w:p>
            <w:pPr>
              <w:rPr>
                <w:rFonts w:ascii="仿宋_GB2312" w:hAnsi="宋体" w:eastAsia="仿宋_GB2312" w:cs="仿宋_GB2312"/>
                <w:color w:val="000000"/>
                <w:szCs w:val="21"/>
                <w:highlight w:val="none"/>
              </w:rPr>
            </w:pPr>
          </w:p>
        </w:tc>
      </w:tr>
      <w:tr>
        <w:tblPrEx>
          <w:tblCellMar>
            <w:top w:w="0" w:type="dxa"/>
            <w:left w:w="108" w:type="dxa"/>
            <w:bottom w:w="0" w:type="dxa"/>
            <w:right w:w="108" w:type="dxa"/>
          </w:tblCellMar>
        </w:tblPrEx>
        <w:trPr>
          <w:trHeight w:val="780" w:hRule="atLeast"/>
          <w:jc w:val="center"/>
        </w:trPr>
        <w:tc>
          <w:tcPr>
            <w:tcW w:w="1501" w:type="dxa"/>
            <w:tcBorders>
              <w:top w:val="nil"/>
              <w:left w:val="single" w:color="000000" w:sz="8" w:space="0"/>
              <w:bottom w:val="single" w:color="000000" w:sz="8" w:space="0"/>
              <w:right w:val="single" w:color="000000" w:sz="8" w:space="0"/>
            </w:tcBorders>
            <w:noWrap/>
            <w:vAlign w:val="center"/>
          </w:tcPr>
          <w:p>
            <w:pPr>
              <w:widowControl/>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现金及存放中央银行款项</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89,308,665.79 </w:t>
            </w:r>
          </w:p>
        </w:tc>
        <w:tc>
          <w:tcPr>
            <w:tcW w:w="1980"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87,414,428.10 </w:t>
            </w:r>
          </w:p>
        </w:tc>
        <w:tc>
          <w:tcPr>
            <w:tcW w:w="1770" w:type="dxa"/>
            <w:tcBorders>
              <w:top w:val="nil"/>
              <w:left w:val="single" w:color="000000" w:sz="8" w:space="0"/>
              <w:bottom w:val="single" w:color="000000" w:sz="8" w:space="0"/>
              <w:right w:val="single" w:color="000000" w:sz="8" w:space="0"/>
            </w:tcBorders>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向中央银行借款</w:t>
            </w:r>
          </w:p>
        </w:tc>
        <w:tc>
          <w:tcPr>
            <w:tcW w:w="190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559,772.00 </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156,379,606.00 </w:t>
            </w:r>
          </w:p>
        </w:tc>
      </w:tr>
      <w:tr>
        <w:tblPrEx>
          <w:tblCellMar>
            <w:top w:w="0" w:type="dxa"/>
            <w:left w:w="108" w:type="dxa"/>
            <w:bottom w:w="0" w:type="dxa"/>
            <w:right w:w="108" w:type="dxa"/>
          </w:tblCellMar>
        </w:tblPrEx>
        <w:trPr>
          <w:trHeight w:val="525" w:hRule="atLeast"/>
          <w:jc w:val="center"/>
        </w:trPr>
        <w:tc>
          <w:tcPr>
            <w:tcW w:w="1501" w:type="dxa"/>
            <w:tcBorders>
              <w:top w:val="nil"/>
              <w:left w:val="single" w:color="000000" w:sz="8" w:space="0"/>
              <w:bottom w:val="single" w:color="000000" w:sz="8" w:space="0"/>
              <w:right w:val="single" w:color="000000" w:sz="8" w:space="0"/>
            </w:tcBorders>
            <w:noWrap/>
            <w:vAlign w:val="center"/>
          </w:tcPr>
          <w:p>
            <w:pPr>
              <w:widowControl/>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存放同业款项</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238,169,885.50 </w:t>
            </w:r>
          </w:p>
        </w:tc>
        <w:tc>
          <w:tcPr>
            <w:tcW w:w="1980"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81,200,167.27 </w:t>
            </w:r>
          </w:p>
        </w:tc>
        <w:tc>
          <w:tcPr>
            <w:tcW w:w="1770" w:type="dxa"/>
            <w:tcBorders>
              <w:top w:val="nil"/>
              <w:left w:val="single" w:color="000000" w:sz="8" w:space="0"/>
              <w:bottom w:val="single" w:color="000000" w:sz="8" w:space="0"/>
              <w:right w:val="single" w:color="000000" w:sz="8" w:space="0"/>
            </w:tcBorders>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同业及其他金融机构存放款项</w:t>
            </w:r>
          </w:p>
        </w:tc>
        <w:tc>
          <w:tcPr>
            <w:tcW w:w="190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r>
      <w:tr>
        <w:tblPrEx>
          <w:tblCellMar>
            <w:top w:w="0" w:type="dxa"/>
            <w:left w:w="108" w:type="dxa"/>
            <w:bottom w:w="0" w:type="dxa"/>
            <w:right w:w="108" w:type="dxa"/>
          </w:tblCellMar>
        </w:tblPrEx>
        <w:trPr>
          <w:trHeight w:val="300" w:hRule="atLeast"/>
          <w:jc w:val="center"/>
        </w:trPr>
        <w:tc>
          <w:tcPr>
            <w:tcW w:w="1501" w:type="dxa"/>
            <w:tcBorders>
              <w:top w:val="nil"/>
              <w:left w:val="single" w:color="000000" w:sz="8" w:space="0"/>
              <w:bottom w:val="single" w:color="000000" w:sz="8" w:space="0"/>
              <w:right w:val="single" w:color="000000" w:sz="8" w:space="0"/>
            </w:tcBorders>
            <w:noWrap/>
            <w:vAlign w:val="center"/>
          </w:tcPr>
          <w:p>
            <w:pPr>
              <w:widowControl/>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贵金属</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980"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770" w:type="dxa"/>
            <w:tcBorders>
              <w:top w:val="nil"/>
              <w:left w:val="single" w:color="000000" w:sz="8" w:space="0"/>
              <w:bottom w:val="single" w:color="000000" w:sz="8" w:space="0"/>
              <w:right w:val="single" w:color="000000" w:sz="8" w:space="0"/>
            </w:tcBorders>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拆入资金</w:t>
            </w:r>
          </w:p>
        </w:tc>
        <w:tc>
          <w:tcPr>
            <w:tcW w:w="190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r>
      <w:tr>
        <w:tblPrEx>
          <w:tblCellMar>
            <w:top w:w="0" w:type="dxa"/>
            <w:left w:w="108" w:type="dxa"/>
            <w:bottom w:w="0" w:type="dxa"/>
            <w:right w:w="108" w:type="dxa"/>
          </w:tblCellMar>
        </w:tblPrEx>
        <w:trPr>
          <w:trHeight w:val="300" w:hRule="atLeast"/>
          <w:jc w:val="center"/>
        </w:trPr>
        <w:tc>
          <w:tcPr>
            <w:tcW w:w="1501" w:type="dxa"/>
            <w:tcBorders>
              <w:top w:val="nil"/>
              <w:left w:val="single" w:color="000000" w:sz="8" w:space="0"/>
              <w:bottom w:val="single" w:color="000000" w:sz="8" w:space="0"/>
              <w:right w:val="single" w:color="000000" w:sz="8" w:space="0"/>
            </w:tcBorders>
            <w:noWrap/>
            <w:vAlign w:val="center"/>
          </w:tcPr>
          <w:p>
            <w:pPr>
              <w:widowControl/>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拆出资金</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980"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770" w:type="dxa"/>
            <w:tcBorders>
              <w:top w:val="nil"/>
              <w:left w:val="single" w:color="000000" w:sz="8" w:space="0"/>
              <w:bottom w:val="single" w:color="000000" w:sz="8" w:space="0"/>
              <w:right w:val="single" w:color="000000" w:sz="8" w:space="0"/>
            </w:tcBorders>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以公允价值计量且其变动计入当期损益的金融负债</w:t>
            </w:r>
          </w:p>
        </w:tc>
        <w:tc>
          <w:tcPr>
            <w:tcW w:w="190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r>
      <w:tr>
        <w:tblPrEx>
          <w:tblCellMar>
            <w:top w:w="0" w:type="dxa"/>
            <w:left w:w="108" w:type="dxa"/>
            <w:bottom w:w="0" w:type="dxa"/>
            <w:right w:w="108" w:type="dxa"/>
          </w:tblCellMar>
        </w:tblPrEx>
        <w:trPr>
          <w:trHeight w:val="1545" w:hRule="atLeast"/>
          <w:jc w:val="center"/>
        </w:trPr>
        <w:tc>
          <w:tcPr>
            <w:tcW w:w="1501" w:type="dxa"/>
            <w:tcBorders>
              <w:top w:val="nil"/>
              <w:left w:val="single" w:color="000000" w:sz="8" w:space="0"/>
              <w:bottom w:val="single" w:color="000000" w:sz="8" w:space="0"/>
              <w:right w:val="single" w:color="000000" w:sz="8" w:space="0"/>
            </w:tcBorders>
            <w:noWrap/>
            <w:vAlign w:val="center"/>
          </w:tcPr>
          <w:p>
            <w:pPr>
              <w:widowControl/>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以公允价值计量且其变动计入当期损益的金融资产</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980"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770" w:type="dxa"/>
            <w:tcBorders>
              <w:top w:val="nil"/>
              <w:left w:val="single" w:color="000000" w:sz="8" w:space="0"/>
              <w:bottom w:val="single" w:color="000000" w:sz="8" w:space="0"/>
              <w:right w:val="single" w:color="000000" w:sz="8" w:space="0"/>
            </w:tcBorders>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交易性金融负债</w:t>
            </w:r>
          </w:p>
        </w:tc>
        <w:tc>
          <w:tcPr>
            <w:tcW w:w="190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r>
      <w:tr>
        <w:tblPrEx>
          <w:tblCellMar>
            <w:top w:w="0" w:type="dxa"/>
            <w:left w:w="108" w:type="dxa"/>
            <w:bottom w:w="0" w:type="dxa"/>
            <w:right w:w="108" w:type="dxa"/>
          </w:tblCellMar>
        </w:tblPrEx>
        <w:trPr>
          <w:trHeight w:val="525" w:hRule="atLeast"/>
          <w:jc w:val="center"/>
        </w:trPr>
        <w:tc>
          <w:tcPr>
            <w:tcW w:w="1501" w:type="dxa"/>
            <w:tcBorders>
              <w:top w:val="nil"/>
              <w:left w:val="single" w:color="000000" w:sz="8" w:space="0"/>
              <w:bottom w:val="single" w:color="000000" w:sz="8" w:space="0"/>
              <w:right w:val="single" w:color="000000" w:sz="8" w:space="0"/>
            </w:tcBorders>
            <w:noWrap/>
            <w:vAlign w:val="center"/>
          </w:tcPr>
          <w:p>
            <w:pPr>
              <w:widowControl/>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衍生金融资产</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980"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770" w:type="dxa"/>
            <w:tcBorders>
              <w:top w:val="nil"/>
              <w:left w:val="single" w:color="000000" w:sz="8" w:space="0"/>
              <w:bottom w:val="single" w:color="000000" w:sz="8" w:space="0"/>
              <w:right w:val="single" w:color="000000" w:sz="8" w:space="0"/>
            </w:tcBorders>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衍生金融负债</w:t>
            </w:r>
          </w:p>
        </w:tc>
        <w:tc>
          <w:tcPr>
            <w:tcW w:w="190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r>
      <w:tr>
        <w:tblPrEx>
          <w:tblCellMar>
            <w:top w:w="0" w:type="dxa"/>
            <w:left w:w="108" w:type="dxa"/>
            <w:bottom w:w="0" w:type="dxa"/>
            <w:right w:w="108" w:type="dxa"/>
          </w:tblCellMar>
        </w:tblPrEx>
        <w:trPr>
          <w:trHeight w:val="525" w:hRule="atLeast"/>
          <w:jc w:val="center"/>
        </w:trPr>
        <w:tc>
          <w:tcPr>
            <w:tcW w:w="1501" w:type="dxa"/>
            <w:tcBorders>
              <w:top w:val="nil"/>
              <w:left w:val="single" w:color="000000" w:sz="8" w:space="0"/>
              <w:bottom w:val="single" w:color="000000" w:sz="8" w:space="0"/>
              <w:right w:val="single" w:color="000000" w:sz="8" w:space="0"/>
            </w:tcBorders>
            <w:noWrap/>
            <w:vAlign w:val="center"/>
          </w:tcPr>
          <w:p>
            <w:pPr>
              <w:widowControl/>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买入返售金融资产</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980"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770" w:type="dxa"/>
            <w:tcBorders>
              <w:top w:val="nil"/>
              <w:left w:val="single" w:color="000000" w:sz="8" w:space="0"/>
              <w:bottom w:val="single" w:color="000000" w:sz="8" w:space="0"/>
              <w:right w:val="single" w:color="000000" w:sz="8" w:space="0"/>
            </w:tcBorders>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卖出回购金融资产款</w:t>
            </w:r>
          </w:p>
        </w:tc>
        <w:tc>
          <w:tcPr>
            <w:tcW w:w="190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r>
      <w:tr>
        <w:tblPrEx>
          <w:tblCellMar>
            <w:top w:w="0" w:type="dxa"/>
            <w:left w:w="108" w:type="dxa"/>
            <w:bottom w:w="0" w:type="dxa"/>
            <w:right w:w="108" w:type="dxa"/>
          </w:tblCellMar>
        </w:tblPrEx>
        <w:trPr>
          <w:trHeight w:val="300" w:hRule="atLeast"/>
          <w:jc w:val="center"/>
        </w:trPr>
        <w:tc>
          <w:tcPr>
            <w:tcW w:w="1501" w:type="dxa"/>
            <w:tcBorders>
              <w:top w:val="nil"/>
              <w:left w:val="single" w:color="000000" w:sz="8" w:space="0"/>
              <w:bottom w:val="single" w:color="000000" w:sz="8" w:space="0"/>
              <w:right w:val="single" w:color="000000" w:sz="8" w:space="0"/>
            </w:tcBorders>
            <w:noWrap/>
            <w:vAlign w:val="center"/>
          </w:tcPr>
          <w:p>
            <w:pPr>
              <w:widowControl/>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应收利息</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980"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770" w:type="dxa"/>
            <w:tcBorders>
              <w:top w:val="nil"/>
              <w:left w:val="single" w:color="000000" w:sz="8" w:space="0"/>
              <w:bottom w:val="single" w:color="000000" w:sz="8" w:space="0"/>
              <w:right w:val="single" w:color="000000" w:sz="8" w:space="0"/>
            </w:tcBorders>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吸收存款</w:t>
            </w:r>
          </w:p>
        </w:tc>
        <w:tc>
          <w:tcPr>
            <w:tcW w:w="190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1,662,065,823.83 </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1,300,389,089.71 </w:t>
            </w:r>
          </w:p>
        </w:tc>
      </w:tr>
      <w:tr>
        <w:tblPrEx>
          <w:tblCellMar>
            <w:top w:w="0" w:type="dxa"/>
            <w:left w:w="108" w:type="dxa"/>
            <w:bottom w:w="0" w:type="dxa"/>
            <w:right w:w="108" w:type="dxa"/>
          </w:tblCellMar>
        </w:tblPrEx>
        <w:trPr>
          <w:trHeight w:val="525" w:hRule="atLeast"/>
          <w:jc w:val="center"/>
        </w:trPr>
        <w:tc>
          <w:tcPr>
            <w:tcW w:w="1501" w:type="dxa"/>
            <w:tcBorders>
              <w:top w:val="nil"/>
              <w:left w:val="single" w:color="000000" w:sz="8" w:space="0"/>
              <w:bottom w:val="single" w:color="000000" w:sz="8" w:space="0"/>
              <w:right w:val="single" w:color="000000" w:sz="8" w:space="0"/>
            </w:tcBorders>
            <w:noWrap/>
            <w:vAlign w:val="center"/>
          </w:tcPr>
          <w:p>
            <w:pPr>
              <w:widowControl/>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发放贷款和垫款</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1,641,396,355.25 </w:t>
            </w:r>
          </w:p>
        </w:tc>
        <w:tc>
          <w:tcPr>
            <w:tcW w:w="1980"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1,585,291,382.70 </w:t>
            </w:r>
          </w:p>
        </w:tc>
        <w:tc>
          <w:tcPr>
            <w:tcW w:w="1770" w:type="dxa"/>
            <w:tcBorders>
              <w:top w:val="nil"/>
              <w:left w:val="single" w:color="000000" w:sz="8" w:space="0"/>
              <w:bottom w:val="single" w:color="000000" w:sz="8" w:space="0"/>
              <w:right w:val="single" w:color="000000" w:sz="8" w:space="0"/>
            </w:tcBorders>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应付职工薪酬</w:t>
            </w:r>
          </w:p>
        </w:tc>
        <w:tc>
          <w:tcPr>
            <w:tcW w:w="190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7,390,850.22 </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5,956,126.30 </w:t>
            </w:r>
          </w:p>
        </w:tc>
      </w:tr>
      <w:tr>
        <w:tblPrEx>
          <w:tblCellMar>
            <w:top w:w="0" w:type="dxa"/>
            <w:left w:w="108" w:type="dxa"/>
            <w:bottom w:w="0" w:type="dxa"/>
            <w:right w:w="108" w:type="dxa"/>
          </w:tblCellMar>
        </w:tblPrEx>
        <w:trPr>
          <w:trHeight w:val="525" w:hRule="atLeast"/>
          <w:jc w:val="center"/>
        </w:trPr>
        <w:tc>
          <w:tcPr>
            <w:tcW w:w="1501" w:type="dxa"/>
            <w:tcBorders>
              <w:top w:val="nil"/>
              <w:left w:val="single" w:color="000000" w:sz="8" w:space="0"/>
              <w:bottom w:val="single" w:color="000000" w:sz="8" w:space="0"/>
              <w:right w:val="single" w:color="000000" w:sz="8" w:space="0"/>
            </w:tcBorders>
            <w:noWrap/>
            <w:vAlign w:val="center"/>
          </w:tcPr>
          <w:p>
            <w:pPr>
              <w:widowControl/>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可供出售金融资产</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980"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770" w:type="dxa"/>
            <w:tcBorders>
              <w:top w:val="nil"/>
              <w:left w:val="single" w:color="000000" w:sz="8" w:space="0"/>
              <w:bottom w:val="single" w:color="000000" w:sz="8" w:space="0"/>
              <w:right w:val="single" w:color="000000" w:sz="8" w:space="0"/>
            </w:tcBorders>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应交税费</w:t>
            </w:r>
          </w:p>
        </w:tc>
        <w:tc>
          <w:tcPr>
            <w:tcW w:w="190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2,951,539.46 </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3,764,827.73 </w:t>
            </w:r>
          </w:p>
        </w:tc>
      </w:tr>
      <w:tr>
        <w:tblPrEx>
          <w:tblCellMar>
            <w:top w:w="0" w:type="dxa"/>
            <w:left w:w="108" w:type="dxa"/>
            <w:bottom w:w="0" w:type="dxa"/>
            <w:right w:w="108" w:type="dxa"/>
          </w:tblCellMar>
        </w:tblPrEx>
        <w:trPr>
          <w:trHeight w:val="525" w:hRule="atLeast"/>
          <w:jc w:val="center"/>
        </w:trPr>
        <w:tc>
          <w:tcPr>
            <w:tcW w:w="1501" w:type="dxa"/>
            <w:tcBorders>
              <w:top w:val="nil"/>
              <w:left w:val="single" w:color="000000" w:sz="8" w:space="0"/>
              <w:bottom w:val="single" w:color="000000" w:sz="8" w:space="0"/>
              <w:right w:val="single" w:color="000000" w:sz="8" w:space="0"/>
            </w:tcBorders>
            <w:noWrap/>
            <w:vAlign w:val="center"/>
          </w:tcPr>
          <w:p>
            <w:pPr>
              <w:widowControl/>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持有至到期投资</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980"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770" w:type="dxa"/>
            <w:tcBorders>
              <w:top w:val="nil"/>
              <w:left w:val="single" w:color="000000" w:sz="8" w:space="0"/>
              <w:bottom w:val="single" w:color="000000" w:sz="8" w:space="0"/>
              <w:right w:val="single" w:color="000000" w:sz="8" w:space="0"/>
            </w:tcBorders>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应付利息</w:t>
            </w:r>
          </w:p>
        </w:tc>
        <w:tc>
          <w:tcPr>
            <w:tcW w:w="190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r>
      <w:tr>
        <w:tblPrEx>
          <w:tblCellMar>
            <w:top w:w="0" w:type="dxa"/>
            <w:left w:w="108" w:type="dxa"/>
            <w:bottom w:w="0" w:type="dxa"/>
            <w:right w:w="108" w:type="dxa"/>
          </w:tblCellMar>
        </w:tblPrEx>
        <w:trPr>
          <w:trHeight w:val="525" w:hRule="atLeast"/>
          <w:jc w:val="center"/>
        </w:trPr>
        <w:tc>
          <w:tcPr>
            <w:tcW w:w="1501" w:type="dxa"/>
            <w:tcBorders>
              <w:top w:val="nil"/>
              <w:left w:val="single" w:color="000000" w:sz="8" w:space="0"/>
              <w:bottom w:val="single" w:color="000000" w:sz="8" w:space="0"/>
              <w:right w:val="single" w:color="000000" w:sz="8" w:space="0"/>
            </w:tcBorders>
            <w:noWrap/>
            <w:vAlign w:val="center"/>
          </w:tcPr>
          <w:p>
            <w:pPr>
              <w:widowControl/>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应收款项类投资</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980"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770" w:type="dxa"/>
            <w:tcBorders>
              <w:top w:val="nil"/>
              <w:left w:val="single" w:color="000000" w:sz="8" w:space="0"/>
              <w:bottom w:val="single" w:color="000000" w:sz="8" w:space="0"/>
              <w:right w:val="single" w:color="000000" w:sz="8" w:space="0"/>
            </w:tcBorders>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持有待售负债</w:t>
            </w:r>
          </w:p>
        </w:tc>
        <w:tc>
          <w:tcPr>
            <w:tcW w:w="190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r>
      <w:tr>
        <w:tblPrEx>
          <w:tblCellMar>
            <w:top w:w="0" w:type="dxa"/>
            <w:left w:w="108" w:type="dxa"/>
            <w:bottom w:w="0" w:type="dxa"/>
            <w:right w:w="108" w:type="dxa"/>
          </w:tblCellMar>
        </w:tblPrEx>
        <w:trPr>
          <w:trHeight w:val="525" w:hRule="atLeast"/>
          <w:jc w:val="center"/>
        </w:trPr>
        <w:tc>
          <w:tcPr>
            <w:tcW w:w="1501" w:type="dxa"/>
            <w:tcBorders>
              <w:top w:val="nil"/>
              <w:left w:val="single" w:color="000000" w:sz="8" w:space="0"/>
              <w:bottom w:val="single" w:color="000000" w:sz="8" w:space="0"/>
              <w:right w:val="single" w:color="000000" w:sz="8" w:space="0"/>
            </w:tcBorders>
            <w:noWrap/>
            <w:vAlign w:val="center"/>
          </w:tcPr>
          <w:p>
            <w:pPr>
              <w:widowControl/>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持有待售资产</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980"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770" w:type="dxa"/>
            <w:tcBorders>
              <w:top w:val="nil"/>
              <w:left w:val="single" w:color="000000" w:sz="8" w:space="0"/>
              <w:bottom w:val="single" w:color="000000" w:sz="8" w:space="0"/>
              <w:right w:val="single" w:color="000000" w:sz="8" w:space="0"/>
            </w:tcBorders>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预计负债</w:t>
            </w:r>
          </w:p>
        </w:tc>
        <w:tc>
          <w:tcPr>
            <w:tcW w:w="190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3,888,838.87 </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2,935,887.03 </w:t>
            </w:r>
          </w:p>
        </w:tc>
      </w:tr>
      <w:tr>
        <w:tblPrEx>
          <w:tblCellMar>
            <w:top w:w="0" w:type="dxa"/>
            <w:left w:w="108" w:type="dxa"/>
            <w:bottom w:w="0" w:type="dxa"/>
            <w:right w:w="108" w:type="dxa"/>
          </w:tblCellMar>
        </w:tblPrEx>
        <w:trPr>
          <w:trHeight w:val="525" w:hRule="atLeast"/>
          <w:jc w:val="center"/>
        </w:trPr>
        <w:tc>
          <w:tcPr>
            <w:tcW w:w="1501" w:type="dxa"/>
            <w:tcBorders>
              <w:top w:val="nil"/>
              <w:left w:val="single" w:color="000000" w:sz="8" w:space="0"/>
              <w:bottom w:val="single" w:color="000000" w:sz="8" w:space="0"/>
              <w:right w:val="single" w:color="000000" w:sz="8" w:space="0"/>
            </w:tcBorders>
            <w:noWrap/>
            <w:vAlign w:val="center"/>
          </w:tcPr>
          <w:p>
            <w:pPr>
              <w:widowControl/>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金融投资：</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980"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770" w:type="dxa"/>
            <w:tcBorders>
              <w:top w:val="nil"/>
              <w:left w:val="single" w:color="000000" w:sz="8" w:space="0"/>
              <w:bottom w:val="single" w:color="000000" w:sz="8" w:space="0"/>
              <w:right w:val="single" w:color="000000" w:sz="8" w:space="0"/>
            </w:tcBorders>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租赁负债</w:t>
            </w:r>
          </w:p>
        </w:tc>
        <w:tc>
          <w:tcPr>
            <w:tcW w:w="190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20,649,239.81 </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5,195,240.86 </w:t>
            </w:r>
          </w:p>
        </w:tc>
      </w:tr>
      <w:tr>
        <w:tblPrEx>
          <w:tblCellMar>
            <w:top w:w="0" w:type="dxa"/>
            <w:left w:w="108" w:type="dxa"/>
            <w:bottom w:w="0" w:type="dxa"/>
            <w:right w:w="108" w:type="dxa"/>
          </w:tblCellMar>
        </w:tblPrEx>
        <w:trPr>
          <w:trHeight w:val="525" w:hRule="atLeast"/>
          <w:jc w:val="center"/>
        </w:trPr>
        <w:tc>
          <w:tcPr>
            <w:tcW w:w="1501" w:type="dxa"/>
            <w:tcBorders>
              <w:top w:val="nil"/>
              <w:left w:val="single" w:color="000000" w:sz="8" w:space="0"/>
              <w:bottom w:val="single" w:color="000000" w:sz="8" w:space="0"/>
              <w:right w:val="single" w:color="000000" w:sz="8" w:space="0"/>
            </w:tcBorders>
            <w:noWrap/>
            <w:vAlign w:val="center"/>
          </w:tcPr>
          <w:p>
            <w:pPr>
              <w:widowControl/>
              <w:textAlignment w:val="center"/>
              <w:rPr>
                <w:rFonts w:ascii="仿宋_GB2312" w:hAnsi="宋体" w:eastAsia="仿宋_GB2312" w:cs="仿宋_GB2312"/>
                <w:color w:val="000000"/>
                <w:szCs w:val="21"/>
                <w:highlight w:val="none"/>
              </w:rPr>
            </w:pPr>
            <w:r>
              <w:rPr>
                <w:rStyle w:val="25"/>
                <w:rFonts w:hint="default" w:hAnsi="宋体"/>
                <w:highlight w:val="none"/>
              </w:rPr>
              <w:t>交易性金融资产</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980"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770" w:type="dxa"/>
            <w:tcBorders>
              <w:top w:val="nil"/>
              <w:left w:val="single" w:color="000000" w:sz="8" w:space="0"/>
              <w:bottom w:val="single" w:color="000000" w:sz="8" w:space="0"/>
              <w:right w:val="single" w:color="000000" w:sz="8" w:space="0"/>
            </w:tcBorders>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应付债券</w:t>
            </w:r>
          </w:p>
        </w:tc>
        <w:tc>
          <w:tcPr>
            <w:tcW w:w="190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r>
      <w:tr>
        <w:tblPrEx>
          <w:tblCellMar>
            <w:top w:w="0" w:type="dxa"/>
            <w:left w:w="108" w:type="dxa"/>
            <w:bottom w:w="0" w:type="dxa"/>
            <w:right w:w="108" w:type="dxa"/>
          </w:tblCellMar>
        </w:tblPrEx>
        <w:trPr>
          <w:trHeight w:val="525" w:hRule="atLeast"/>
          <w:jc w:val="center"/>
        </w:trPr>
        <w:tc>
          <w:tcPr>
            <w:tcW w:w="1501" w:type="dxa"/>
            <w:tcBorders>
              <w:top w:val="nil"/>
              <w:left w:val="single" w:color="000000" w:sz="8" w:space="0"/>
              <w:bottom w:val="single" w:color="000000" w:sz="8" w:space="0"/>
              <w:right w:val="single" w:color="000000" w:sz="8" w:space="0"/>
            </w:tcBorders>
            <w:noWrap/>
            <w:vAlign w:val="center"/>
          </w:tcPr>
          <w:p>
            <w:pPr>
              <w:widowControl/>
              <w:textAlignment w:val="center"/>
              <w:rPr>
                <w:rFonts w:ascii="仿宋_GB2312" w:hAnsi="宋体" w:eastAsia="仿宋_GB2312" w:cs="仿宋_GB2312"/>
                <w:color w:val="000000"/>
                <w:szCs w:val="21"/>
                <w:highlight w:val="none"/>
              </w:rPr>
            </w:pPr>
            <w:r>
              <w:rPr>
                <w:rStyle w:val="25"/>
                <w:rFonts w:hint="default" w:hAnsi="宋体"/>
                <w:highlight w:val="none"/>
              </w:rPr>
              <w:t>债权投资</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980"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770" w:type="dxa"/>
            <w:tcBorders>
              <w:top w:val="nil"/>
              <w:left w:val="single" w:color="000000" w:sz="8" w:space="0"/>
              <w:bottom w:val="single" w:color="000000" w:sz="8" w:space="0"/>
              <w:right w:val="single" w:color="000000" w:sz="8" w:space="0"/>
            </w:tcBorders>
            <w:noWrap/>
            <w:vAlign w:val="center"/>
          </w:tcPr>
          <w:p>
            <w:pPr>
              <w:widowControl/>
              <w:jc w:val="left"/>
              <w:textAlignment w:val="center"/>
              <w:rPr>
                <w:rFonts w:ascii="仿宋_GB2312" w:hAnsi="宋体" w:eastAsia="仿宋_GB2312" w:cs="仿宋_GB2312"/>
                <w:color w:val="000000"/>
                <w:szCs w:val="21"/>
                <w:highlight w:val="none"/>
              </w:rPr>
            </w:pPr>
            <w:r>
              <w:rPr>
                <w:rStyle w:val="25"/>
                <w:rFonts w:hint="default" w:hAnsi="宋体"/>
                <w:highlight w:val="none"/>
              </w:rPr>
              <w:t>其中：优先股</w:t>
            </w:r>
          </w:p>
        </w:tc>
        <w:tc>
          <w:tcPr>
            <w:tcW w:w="190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r>
      <w:tr>
        <w:tblPrEx>
          <w:tblCellMar>
            <w:top w:w="0" w:type="dxa"/>
            <w:left w:w="108" w:type="dxa"/>
            <w:bottom w:w="0" w:type="dxa"/>
            <w:right w:w="108" w:type="dxa"/>
          </w:tblCellMar>
        </w:tblPrEx>
        <w:trPr>
          <w:trHeight w:val="525" w:hRule="atLeast"/>
          <w:jc w:val="center"/>
        </w:trPr>
        <w:tc>
          <w:tcPr>
            <w:tcW w:w="1501" w:type="dxa"/>
            <w:tcBorders>
              <w:top w:val="nil"/>
              <w:left w:val="single" w:color="000000" w:sz="8" w:space="0"/>
              <w:bottom w:val="single" w:color="000000" w:sz="8" w:space="0"/>
              <w:right w:val="single" w:color="000000" w:sz="8" w:space="0"/>
            </w:tcBorders>
            <w:noWrap/>
            <w:vAlign w:val="center"/>
          </w:tcPr>
          <w:p>
            <w:pPr>
              <w:widowControl/>
              <w:textAlignment w:val="center"/>
              <w:rPr>
                <w:rFonts w:ascii="仿宋_GB2312" w:hAnsi="宋体" w:eastAsia="仿宋_GB2312" w:cs="仿宋_GB2312"/>
                <w:color w:val="000000"/>
                <w:szCs w:val="21"/>
                <w:highlight w:val="none"/>
              </w:rPr>
            </w:pPr>
            <w:r>
              <w:rPr>
                <w:rStyle w:val="25"/>
                <w:rFonts w:hint="default" w:hAnsi="宋体"/>
                <w:highlight w:val="none"/>
              </w:rPr>
              <w:t>其他债权投资</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980"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770" w:type="dxa"/>
            <w:tcBorders>
              <w:top w:val="nil"/>
              <w:left w:val="single" w:color="000000" w:sz="8" w:space="0"/>
              <w:bottom w:val="single" w:color="000000" w:sz="8" w:space="0"/>
              <w:right w:val="single" w:color="000000" w:sz="8" w:space="0"/>
            </w:tcBorders>
            <w:noWrap/>
            <w:vAlign w:val="center"/>
          </w:tcPr>
          <w:p>
            <w:pPr>
              <w:widowControl/>
              <w:jc w:val="left"/>
              <w:textAlignment w:val="center"/>
              <w:rPr>
                <w:rFonts w:ascii="仿宋_GB2312" w:hAnsi="宋体" w:eastAsia="仿宋_GB2312" w:cs="仿宋_GB2312"/>
                <w:color w:val="000000"/>
                <w:szCs w:val="21"/>
                <w:highlight w:val="none"/>
              </w:rPr>
            </w:pPr>
            <w:r>
              <w:rPr>
                <w:rStyle w:val="25"/>
                <w:rFonts w:hint="default" w:hAnsi="宋体"/>
                <w:highlight w:val="none"/>
              </w:rPr>
              <w:t>永续债</w:t>
            </w:r>
          </w:p>
        </w:tc>
        <w:tc>
          <w:tcPr>
            <w:tcW w:w="190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r>
      <w:tr>
        <w:tblPrEx>
          <w:tblCellMar>
            <w:top w:w="0" w:type="dxa"/>
            <w:left w:w="108" w:type="dxa"/>
            <w:bottom w:w="0" w:type="dxa"/>
            <w:right w:w="108" w:type="dxa"/>
          </w:tblCellMar>
        </w:tblPrEx>
        <w:trPr>
          <w:trHeight w:val="780" w:hRule="atLeast"/>
          <w:jc w:val="center"/>
        </w:trPr>
        <w:tc>
          <w:tcPr>
            <w:tcW w:w="1501" w:type="dxa"/>
            <w:tcBorders>
              <w:top w:val="nil"/>
              <w:left w:val="single" w:color="000000" w:sz="8" w:space="0"/>
              <w:bottom w:val="single" w:color="000000" w:sz="8" w:space="0"/>
              <w:right w:val="single" w:color="000000" w:sz="8" w:space="0"/>
            </w:tcBorders>
            <w:noWrap/>
            <w:vAlign w:val="center"/>
          </w:tcPr>
          <w:p>
            <w:pPr>
              <w:widowControl/>
              <w:textAlignment w:val="center"/>
              <w:rPr>
                <w:rFonts w:ascii="仿宋_GB2312" w:hAnsi="宋体" w:eastAsia="仿宋_GB2312" w:cs="仿宋_GB2312"/>
                <w:color w:val="000000"/>
                <w:szCs w:val="21"/>
                <w:highlight w:val="none"/>
              </w:rPr>
            </w:pPr>
            <w:r>
              <w:rPr>
                <w:rStyle w:val="25"/>
                <w:rFonts w:hint="default" w:hAnsi="宋体"/>
                <w:highlight w:val="none"/>
              </w:rPr>
              <w:t>其他权益工具投资</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980"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770" w:type="dxa"/>
            <w:tcBorders>
              <w:top w:val="nil"/>
              <w:left w:val="single" w:color="000000" w:sz="8" w:space="0"/>
              <w:bottom w:val="single" w:color="000000" w:sz="8" w:space="0"/>
              <w:right w:val="single" w:color="000000" w:sz="8" w:space="0"/>
            </w:tcBorders>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递延所得税负债</w:t>
            </w:r>
          </w:p>
        </w:tc>
        <w:tc>
          <w:tcPr>
            <w:tcW w:w="190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r>
      <w:tr>
        <w:tblPrEx>
          <w:tblCellMar>
            <w:top w:w="0" w:type="dxa"/>
            <w:left w:w="108" w:type="dxa"/>
            <w:bottom w:w="0" w:type="dxa"/>
            <w:right w:w="108" w:type="dxa"/>
          </w:tblCellMar>
        </w:tblPrEx>
        <w:trPr>
          <w:trHeight w:val="525" w:hRule="atLeast"/>
          <w:jc w:val="center"/>
        </w:trPr>
        <w:tc>
          <w:tcPr>
            <w:tcW w:w="1501" w:type="dxa"/>
            <w:tcBorders>
              <w:top w:val="nil"/>
              <w:left w:val="single" w:color="000000" w:sz="8" w:space="0"/>
              <w:bottom w:val="single" w:color="000000" w:sz="8" w:space="0"/>
              <w:right w:val="single" w:color="000000" w:sz="8" w:space="0"/>
            </w:tcBorders>
            <w:noWrap/>
            <w:vAlign w:val="center"/>
          </w:tcPr>
          <w:p>
            <w:pPr>
              <w:widowControl/>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长期股权投资</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980"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770" w:type="dxa"/>
            <w:tcBorders>
              <w:top w:val="nil"/>
              <w:left w:val="single" w:color="000000" w:sz="8" w:space="0"/>
              <w:bottom w:val="single" w:color="000000" w:sz="8" w:space="0"/>
              <w:right w:val="single" w:color="000000" w:sz="8" w:space="0"/>
            </w:tcBorders>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其他负债</w:t>
            </w:r>
          </w:p>
        </w:tc>
        <w:tc>
          <w:tcPr>
            <w:tcW w:w="190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9,203,602.27 </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9,159,328.26 </w:t>
            </w:r>
          </w:p>
        </w:tc>
      </w:tr>
      <w:tr>
        <w:tblPrEx>
          <w:tblCellMar>
            <w:top w:w="0" w:type="dxa"/>
            <w:left w:w="108" w:type="dxa"/>
            <w:bottom w:w="0" w:type="dxa"/>
            <w:right w:w="108" w:type="dxa"/>
          </w:tblCellMar>
        </w:tblPrEx>
        <w:trPr>
          <w:trHeight w:val="525" w:hRule="atLeast"/>
          <w:jc w:val="center"/>
        </w:trPr>
        <w:tc>
          <w:tcPr>
            <w:tcW w:w="1501" w:type="dxa"/>
            <w:tcBorders>
              <w:top w:val="nil"/>
              <w:left w:val="single" w:color="000000" w:sz="8" w:space="0"/>
              <w:bottom w:val="single" w:color="000000" w:sz="8" w:space="0"/>
              <w:right w:val="single" w:color="000000" w:sz="8" w:space="0"/>
            </w:tcBorders>
            <w:noWrap/>
            <w:vAlign w:val="center"/>
          </w:tcPr>
          <w:p>
            <w:pPr>
              <w:widowControl/>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投资性房地产</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980"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770" w:type="dxa"/>
            <w:tcBorders>
              <w:top w:val="nil"/>
              <w:left w:val="single" w:color="000000" w:sz="8" w:space="0"/>
              <w:bottom w:val="single" w:color="000000" w:sz="8" w:space="0"/>
              <w:right w:val="single" w:color="000000" w:sz="8" w:space="0"/>
            </w:tcBorders>
            <w:noWrap/>
            <w:vAlign w:val="center"/>
          </w:tcPr>
          <w:p>
            <w:pPr>
              <w:widowControl/>
              <w:jc w:val="left"/>
              <w:textAlignment w:val="center"/>
              <w:rPr>
                <w:rFonts w:ascii="仿宋_GB2312" w:hAnsi="宋体" w:eastAsia="仿宋_GB2312" w:cs="仿宋_GB2312"/>
                <w:color w:val="000000"/>
                <w:szCs w:val="21"/>
                <w:highlight w:val="none"/>
              </w:rPr>
            </w:pPr>
            <w:r>
              <w:rPr>
                <w:rStyle w:val="25"/>
                <w:rFonts w:hint="default" w:hAnsi="宋体"/>
                <w:highlight w:val="none"/>
              </w:rPr>
              <w:t>负债合计</w:t>
            </w:r>
          </w:p>
        </w:tc>
        <w:tc>
          <w:tcPr>
            <w:tcW w:w="190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1,706,709,666.46 </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1,483,780,105.89 </w:t>
            </w:r>
          </w:p>
        </w:tc>
      </w:tr>
      <w:tr>
        <w:tblPrEx>
          <w:tblCellMar>
            <w:top w:w="0" w:type="dxa"/>
            <w:left w:w="108" w:type="dxa"/>
            <w:bottom w:w="0" w:type="dxa"/>
            <w:right w:w="108" w:type="dxa"/>
          </w:tblCellMar>
        </w:tblPrEx>
        <w:trPr>
          <w:trHeight w:val="300" w:hRule="atLeast"/>
          <w:jc w:val="center"/>
        </w:trPr>
        <w:tc>
          <w:tcPr>
            <w:tcW w:w="1501" w:type="dxa"/>
            <w:tcBorders>
              <w:top w:val="nil"/>
              <w:left w:val="single" w:color="000000" w:sz="8" w:space="0"/>
              <w:bottom w:val="single" w:color="000000" w:sz="8" w:space="0"/>
              <w:right w:val="single" w:color="000000" w:sz="8" w:space="0"/>
            </w:tcBorders>
            <w:noWrap/>
            <w:vAlign w:val="center"/>
          </w:tcPr>
          <w:p>
            <w:pPr>
              <w:widowControl/>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固定资产</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2,352,125.16 </w:t>
            </w:r>
          </w:p>
        </w:tc>
        <w:tc>
          <w:tcPr>
            <w:tcW w:w="1980"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1,606,896.89 </w:t>
            </w:r>
          </w:p>
        </w:tc>
        <w:tc>
          <w:tcPr>
            <w:tcW w:w="1770" w:type="dxa"/>
            <w:tcBorders>
              <w:top w:val="nil"/>
              <w:left w:val="single" w:color="000000" w:sz="8" w:space="0"/>
              <w:bottom w:val="single" w:color="000000" w:sz="8" w:space="0"/>
              <w:right w:val="single" w:color="000000" w:sz="8" w:space="0"/>
            </w:tcBorders>
            <w:noWrap/>
            <w:vAlign w:val="center"/>
          </w:tcPr>
          <w:p>
            <w:pPr>
              <w:widowControl/>
              <w:jc w:val="left"/>
              <w:textAlignment w:val="center"/>
              <w:rPr>
                <w:rFonts w:ascii="仿宋_GB2312" w:hAnsi="宋体" w:eastAsia="仿宋_GB2312" w:cs="仿宋_GB2312"/>
                <w:b/>
                <w:bCs/>
                <w:color w:val="000000"/>
                <w:szCs w:val="21"/>
                <w:highlight w:val="none"/>
              </w:rPr>
            </w:pPr>
            <w:r>
              <w:rPr>
                <w:rFonts w:hint="eastAsia" w:ascii="仿宋_GB2312" w:hAnsi="宋体" w:eastAsia="仿宋_GB2312" w:cs="仿宋_GB2312"/>
                <w:b/>
                <w:bCs/>
                <w:color w:val="000000"/>
                <w:kern w:val="0"/>
                <w:szCs w:val="21"/>
                <w:highlight w:val="none"/>
              </w:rPr>
              <w:t>所有者权益：</w:t>
            </w:r>
          </w:p>
        </w:tc>
        <w:tc>
          <w:tcPr>
            <w:tcW w:w="190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w:t>
            </w:r>
          </w:p>
        </w:tc>
      </w:tr>
      <w:tr>
        <w:tblPrEx>
          <w:tblCellMar>
            <w:top w:w="0" w:type="dxa"/>
            <w:left w:w="108" w:type="dxa"/>
            <w:bottom w:w="0" w:type="dxa"/>
            <w:right w:w="108" w:type="dxa"/>
          </w:tblCellMar>
        </w:tblPrEx>
        <w:trPr>
          <w:trHeight w:val="300" w:hRule="atLeast"/>
          <w:jc w:val="center"/>
        </w:trPr>
        <w:tc>
          <w:tcPr>
            <w:tcW w:w="1501" w:type="dxa"/>
            <w:tcBorders>
              <w:top w:val="nil"/>
              <w:left w:val="single" w:color="000000" w:sz="8" w:space="0"/>
              <w:bottom w:val="single" w:color="000000" w:sz="8" w:space="0"/>
              <w:right w:val="single" w:color="000000" w:sz="8" w:space="0"/>
            </w:tcBorders>
            <w:noWrap/>
            <w:vAlign w:val="center"/>
          </w:tcPr>
          <w:p>
            <w:pPr>
              <w:widowControl/>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在建工程</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980"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770" w:type="dxa"/>
            <w:tcBorders>
              <w:top w:val="nil"/>
              <w:left w:val="single" w:color="000000" w:sz="8" w:space="0"/>
              <w:bottom w:val="single" w:color="000000" w:sz="8" w:space="0"/>
              <w:right w:val="single" w:color="000000" w:sz="8" w:space="0"/>
            </w:tcBorders>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股本</w:t>
            </w:r>
          </w:p>
        </w:tc>
        <w:tc>
          <w:tcPr>
            <w:tcW w:w="190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200,000,00- </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200,000,00- </w:t>
            </w:r>
          </w:p>
        </w:tc>
      </w:tr>
      <w:tr>
        <w:tblPrEx>
          <w:tblCellMar>
            <w:top w:w="0" w:type="dxa"/>
            <w:left w:w="108" w:type="dxa"/>
            <w:bottom w:w="0" w:type="dxa"/>
            <w:right w:w="108" w:type="dxa"/>
          </w:tblCellMar>
        </w:tblPrEx>
        <w:trPr>
          <w:trHeight w:val="525" w:hRule="atLeast"/>
          <w:jc w:val="center"/>
        </w:trPr>
        <w:tc>
          <w:tcPr>
            <w:tcW w:w="1501" w:type="dxa"/>
            <w:tcBorders>
              <w:top w:val="nil"/>
              <w:left w:val="single" w:color="000000" w:sz="8" w:space="0"/>
              <w:bottom w:val="single" w:color="000000" w:sz="8" w:space="0"/>
              <w:right w:val="single" w:color="000000" w:sz="8" w:space="0"/>
            </w:tcBorders>
            <w:noWrap/>
            <w:vAlign w:val="center"/>
          </w:tcPr>
          <w:p>
            <w:pPr>
              <w:widowControl/>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使用权资产</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20,478,453.55 </w:t>
            </w:r>
          </w:p>
        </w:tc>
        <w:tc>
          <w:tcPr>
            <w:tcW w:w="1980"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8,281,334.77 </w:t>
            </w:r>
          </w:p>
        </w:tc>
        <w:tc>
          <w:tcPr>
            <w:tcW w:w="1770" w:type="dxa"/>
            <w:tcBorders>
              <w:top w:val="nil"/>
              <w:left w:val="single" w:color="000000" w:sz="8" w:space="0"/>
              <w:bottom w:val="single" w:color="000000" w:sz="8" w:space="0"/>
              <w:right w:val="single" w:color="000000" w:sz="8" w:space="0"/>
            </w:tcBorders>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其他权益工具</w:t>
            </w:r>
          </w:p>
        </w:tc>
        <w:tc>
          <w:tcPr>
            <w:tcW w:w="190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r>
      <w:tr>
        <w:tblPrEx>
          <w:tblCellMar>
            <w:top w:w="0" w:type="dxa"/>
            <w:left w:w="108" w:type="dxa"/>
            <w:bottom w:w="0" w:type="dxa"/>
            <w:right w:w="108" w:type="dxa"/>
          </w:tblCellMar>
        </w:tblPrEx>
        <w:trPr>
          <w:trHeight w:val="300" w:hRule="atLeast"/>
          <w:jc w:val="center"/>
        </w:trPr>
        <w:tc>
          <w:tcPr>
            <w:tcW w:w="1501" w:type="dxa"/>
            <w:tcBorders>
              <w:top w:val="nil"/>
              <w:left w:val="single" w:color="000000" w:sz="8" w:space="0"/>
              <w:bottom w:val="single" w:color="000000" w:sz="8" w:space="0"/>
              <w:right w:val="single" w:color="000000" w:sz="8" w:space="0"/>
            </w:tcBorders>
            <w:noWrap/>
            <w:vAlign w:val="center"/>
          </w:tcPr>
          <w:p>
            <w:pPr>
              <w:widowControl/>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无形资产</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980"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770" w:type="dxa"/>
            <w:tcBorders>
              <w:top w:val="nil"/>
              <w:left w:val="single" w:color="000000" w:sz="8" w:space="0"/>
              <w:bottom w:val="single" w:color="000000" w:sz="8" w:space="0"/>
              <w:right w:val="single" w:color="000000" w:sz="8" w:space="0"/>
            </w:tcBorders>
            <w:noWrap/>
            <w:vAlign w:val="center"/>
          </w:tcPr>
          <w:p>
            <w:pPr>
              <w:widowControl/>
              <w:jc w:val="left"/>
              <w:textAlignment w:val="center"/>
              <w:rPr>
                <w:rFonts w:ascii="仿宋_GB2312" w:hAnsi="宋体" w:eastAsia="仿宋_GB2312" w:cs="仿宋_GB2312"/>
                <w:color w:val="000000"/>
                <w:szCs w:val="21"/>
                <w:highlight w:val="none"/>
              </w:rPr>
            </w:pPr>
            <w:r>
              <w:rPr>
                <w:rStyle w:val="25"/>
                <w:rFonts w:hint="default" w:hAnsi="宋体"/>
                <w:highlight w:val="none"/>
              </w:rPr>
              <w:t>其中：优先股</w:t>
            </w:r>
          </w:p>
        </w:tc>
        <w:tc>
          <w:tcPr>
            <w:tcW w:w="190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r>
      <w:tr>
        <w:tblPrEx>
          <w:tblCellMar>
            <w:top w:w="0" w:type="dxa"/>
            <w:left w:w="108" w:type="dxa"/>
            <w:bottom w:w="0" w:type="dxa"/>
            <w:right w:w="108" w:type="dxa"/>
          </w:tblCellMar>
        </w:tblPrEx>
        <w:trPr>
          <w:trHeight w:val="300" w:hRule="atLeast"/>
          <w:jc w:val="center"/>
        </w:trPr>
        <w:tc>
          <w:tcPr>
            <w:tcW w:w="1501" w:type="dxa"/>
            <w:tcBorders>
              <w:top w:val="nil"/>
              <w:left w:val="single" w:color="000000" w:sz="8" w:space="0"/>
              <w:bottom w:val="single" w:color="000000" w:sz="8" w:space="0"/>
              <w:right w:val="single" w:color="000000" w:sz="8" w:space="0"/>
            </w:tcBorders>
            <w:noWrap/>
            <w:vAlign w:val="center"/>
          </w:tcPr>
          <w:p>
            <w:pPr>
              <w:widowControl/>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商誉</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980"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770" w:type="dxa"/>
            <w:tcBorders>
              <w:top w:val="nil"/>
              <w:left w:val="single" w:color="000000" w:sz="8" w:space="0"/>
              <w:bottom w:val="single" w:color="000000" w:sz="8" w:space="0"/>
              <w:right w:val="single" w:color="000000" w:sz="8" w:space="0"/>
            </w:tcBorders>
            <w:noWrap/>
            <w:vAlign w:val="center"/>
          </w:tcPr>
          <w:p>
            <w:pPr>
              <w:widowControl/>
              <w:jc w:val="left"/>
              <w:textAlignment w:val="center"/>
              <w:rPr>
                <w:rFonts w:ascii="仿宋_GB2312" w:hAnsi="宋体" w:eastAsia="仿宋_GB2312" w:cs="仿宋_GB2312"/>
                <w:color w:val="000000"/>
                <w:szCs w:val="21"/>
                <w:highlight w:val="none"/>
              </w:rPr>
            </w:pPr>
            <w:r>
              <w:rPr>
                <w:rStyle w:val="25"/>
                <w:rFonts w:hint="default" w:hAnsi="宋体"/>
                <w:highlight w:val="none"/>
              </w:rPr>
              <w:t>永续债</w:t>
            </w:r>
          </w:p>
        </w:tc>
        <w:tc>
          <w:tcPr>
            <w:tcW w:w="190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r>
      <w:tr>
        <w:tblPrEx>
          <w:tblCellMar>
            <w:top w:w="0" w:type="dxa"/>
            <w:left w:w="108" w:type="dxa"/>
            <w:bottom w:w="0" w:type="dxa"/>
            <w:right w:w="108" w:type="dxa"/>
          </w:tblCellMar>
        </w:tblPrEx>
        <w:trPr>
          <w:trHeight w:val="525" w:hRule="atLeast"/>
          <w:jc w:val="center"/>
        </w:trPr>
        <w:tc>
          <w:tcPr>
            <w:tcW w:w="1501" w:type="dxa"/>
            <w:tcBorders>
              <w:top w:val="nil"/>
              <w:left w:val="single" w:color="000000" w:sz="8" w:space="0"/>
              <w:bottom w:val="single" w:color="000000" w:sz="8" w:space="0"/>
              <w:right w:val="single" w:color="000000" w:sz="8" w:space="0"/>
            </w:tcBorders>
            <w:noWrap/>
            <w:vAlign w:val="center"/>
          </w:tcPr>
          <w:p>
            <w:pPr>
              <w:widowControl/>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递延所得税资产</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14,905,324.71 </w:t>
            </w:r>
          </w:p>
        </w:tc>
        <w:tc>
          <w:tcPr>
            <w:tcW w:w="1980"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12,822,066.40 </w:t>
            </w:r>
          </w:p>
        </w:tc>
        <w:tc>
          <w:tcPr>
            <w:tcW w:w="1770" w:type="dxa"/>
            <w:tcBorders>
              <w:top w:val="nil"/>
              <w:left w:val="single" w:color="000000" w:sz="8" w:space="0"/>
              <w:bottom w:val="single" w:color="000000" w:sz="8" w:space="0"/>
              <w:right w:val="single" w:color="000000" w:sz="8" w:space="0"/>
            </w:tcBorders>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资本公积</w:t>
            </w:r>
          </w:p>
        </w:tc>
        <w:tc>
          <w:tcPr>
            <w:tcW w:w="190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r>
      <w:tr>
        <w:tblPrEx>
          <w:tblCellMar>
            <w:top w:w="0" w:type="dxa"/>
            <w:left w:w="108" w:type="dxa"/>
            <w:bottom w:w="0" w:type="dxa"/>
            <w:right w:w="108" w:type="dxa"/>
          </w:tblCellMar>
        </w:tblPrEx>
        <w:trPr>
          <w:trHeight w:val="300" w:hRule="atLeast"/>
          <w:jc w:val="center"/>
        </w:trPr>
        <w:tc>
          <w:tcPr>
            <w:tcW w:w="1501" w:type="dxa"/>
            <w:tcBorders>
              <w:top w:val="nil"/>
              <w:left w:val="single" w:color="000000" w:sz="8" w:space="0"/>
              <w:bottom w:val="single" w:color="000000" w:sz="8" w:space="0"/>
              <w:right w:val="single" w:color="000000" w:sz="8" w:space="0"/>
            </w:tcBorders>
            <w:noWrap/>
            <w:vAlign w:val="center"/>
          </w:tcPr>
          <w:p>
            <w:pPr>
              <w:widowControl/>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其他资产</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14,659,470.90 </w:t>
            </w:r>
          </w:p>
        </w:tc>
        <w:tc>
          <w:tcPr>
            <w:tcW w:w="1980"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11,281,934.60 </w:t>
            </w:r>
          </w:p>
        </w:tc>
        <w:tc>
          <w:tcPr>
            <w:tcW w:w="1770" w:type="dxa"/>
            <w:tcBorders>
              <w:top w:val="nil"/>
              <w:left w:val="single" w:color="000000" w:sz="8" w:space="0"/>
              <w:bottom w:val="single" w:color="000000" w:sz="8" w:space="0"/>
              <w:right w:val="single" w:color="000000" w:sz="8" w:space="0"/>
            </w:tcBorders>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减：库存股</w:t>
            </w:r>
          </w:p>
        </w:tc>
        <w:tc>
          <w:tcPr>
            <w:tcW w:w="190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r>
      <w:tr>
        <w:tblPrEx>
          <w:tblCellMar>
            <w:top w:w="0" w:type="dxa"/>
            <w:left w:w="108" w:type="dxa"/>
            <w:bottom w:w="0" w:type="dxa"/>
            <w:right w:w="108" w:type="dxa"/>
          </w:tblCellMar>
        </w:tblPrEx>
        <w:trPr>
          <w:trHeight w:val="300" w:hRule="atLeast"/>
          <w:jc w:val="center"/>
        </w:trPr>
        <w:tc>
          <w:tcPr>
            <w:tcW w:w="1501" w:type="dxa"/>
            <w:tcBorders>
              <w:top w:val="nil"/>
              <w:left w:val="single" w:color="000000" w:sz="8" w:space="0"/>
              <w:bottom w:val="single" w:color="000000" w:sz="8" w:space="0"/>
              <w:right w:val="single" w:color="000000" w:sz="8" w:space="0"/>
            </w:tcBorders>
            <w:noWrap/>
            <w:vAlign w:val="bottom"/>
          </w:tcPr>
          <w:p>
            <w:pPr>
              <w:rPr>
                <w:rFonts w:ascii="仿宋_GB2312" w:hAnsi="宋体" w:eastAsia="仿宋_GB2312" w:cs="仿宋_GB2312"/>
                <w:color w:val="000000"/>
                <w:szCs w:val="21"/>
                <w:highlight w:val="none"/>
              </w:rPr>
            </w:pP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p>
        </w:tc>
        <w:tc>
          <w:tcPr>
            <w:tcW w:w="1980"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p>
        </w:tc>
        <w:tc>
          <w:tcPr>
            <w:tcW w:w="1770" w:type="dxa"/>
            <w:tcBorders>
              <w:top w:val="nil"/>
              <w:left w:val="single" w:color="000000" w:sz="8" w:space="0"/>
              <w:bottom w:val="single" w:color="000000" w:sz="8" w:space="0"/>
              <w:right w:val="single" w:color="000000" w:sz="8" w:space="0"/>
            </w:tcBorders>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其他综合收益</w:t>
            </w:r>
          </w:p>
        </w:tc>
        <w:tc>
          <w:tcPr>
            <w:tcW w:w="190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w:t>
            </w:r>
          </w:p>
        </w:tc>
      </w:tr>
      <w:tr>
        <w:tblPrEx>
          <w:tblCellMar>
            <w:top w:w="0" w:type="dxa"/>
            <w:left w:w="108" w:type="dxa"/>
            <w:bottom w:w="0" w:type="dxa"/>
            <w:right w:w="108" w:type="dxa"/>
          </w:tblCellMar>
        </w:tblPrEx>
        <w:trPr>
          <w:trHeight w:val="300" w:hRule="atLeast"/>
          <w:jc w:val="center"/>
        </w:trPr>
        <w:tc>
          <w:tcPr>
            <w:tcW w:w="1501" w:type="dxa"/>
            <w:tcBorders>
              <w:top w:val="nil"/>
              <w:left w:val="single" w:color="000000" w:sz="8" w:space="0"/>
              <w:bottom w:val="single" w:color="000000" w:sz="8" w:space="0"/>
              <w:right w:val="single" w:color="000000" w:sz="8" w:space="0"/>
            </w:tcBorders>
            <w:noWrap/>
            <w:vAlign w:val="center"/>
          </w:tcPr>
          <w:p>
            <w:pPr>
              <w:rPr>
                <w:rFonts w:ascii="仿宋_GB2312" w:hAnsi="宋体" w:eastAsia="仿宋_GB2312" w:cs="仿宋_GB2312"/>
                <w:b/>
                <w:bCs/>
                <w:color w:val="000000"/>
                <w:szCs w:val="21"/>
                <w:highlight w:val="none"/>
              </w:rPr>
            </w:pP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p>
        </w:tc>
        <w:tc>
          <w:tcPr>
            <w:tcW w:w="1980"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p>
        </w:tc>
        <w:tc>
          <w:tcPr>
            <w:tcW w:w="1770" w:type="dxa"/>
            <w:tcBorders>
              <w:top w:val="nil"/>
              <w:left w:val="single" w:color="000000" w:sz="8" w:space="0"/>
              <w:bottom w:val="single" w:color="000000" w:sz="8" w:space="0"/>
              <w:right w:val="single" w:color="000000" w:sz="8" w:space="0"/>
            </w:tcBorders>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盈余公积</w:t>
            </w:r>
          </w:p>
        </w:tc>
        <w:tc>
          <w:tcPr>
            <w:tcW w:w="190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16,147,382.83 </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13,936,463.41 </w:t>
            </w:r>
          </w:p>
        </w:tc>
      </w:tr>
      <w:tr>
        <w:tblPrEx>
          <w:tblCellMar>
            <w:top w:w="0" w:type="dxa"/>
            <w:left w:w="108" w:type="dxa"/>
            <w:bottom w:w="0" w:type="dxa"/>
            <w:right w:w="108" w:type="dxa"/>
          </w:tblCellMar>
        </w:tblPrEx>
        <w:trPr>
          <w:trHeight w:val="300" w:hRule="atLeast"/>
          <w:jc w:val="center"/>
        </w:trPr>
        <w:tc>
          <w:tcPr>
            <w:tcW w:w="1501" w:type="dxa"/>
            <w:tcBorders>
              <w:top w:val="nil"/>
              <w:left w:val="single" w:color="000000" w:sz="8" w:space="0"/>
              <w:bottom w:val="single" w:color="000000" w:sz="8" w:space="0"/>
              <w:right w:val="single" w:color="000000" w:sz="8" w:space="0"/>
            </w:tcBorders>
            <w:noWrap/>
            <w:vAlign w:val="center"/>
          </w:tcPr>
          <w:p>
            <w:pPr>
              <w:rPr>
                <w:rFonts w:ascii="仿宋_GB2312" w:hAnsi="宋体" w:eastAsia="仿宋_GB2312" w:cs="仿宋_GB2312"/>
                <w:b/>
                <w:bCs/>
                <w:color w:val="000000"/>
                <w:szCs w:val="21"/>
                <w:highlight w:val="none"/>
              </w:rPr>
            </w:pP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p>
        </w:tc>
        <w:tc>
          <w:tcPr>
            <w:tcW w:w="1980"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p>
        </w:tc>
        <w:tc>
          <w:tcPr>
            <w:tcW w:w="1770" w:type="dxa"/>
            <w:tcBorders>
              <w:top w:val="nil"/>
              <w:left w:val="single" w:color="000000" w:sz="8" w:space="0"/>
              <w:bottom w:val="single" w:color="000000" w:sz="8" w:space="0"/>
              <w:right w:val="single" w:color="000000" w:sz="8" w:space="0"/>
            </w:tcBorders>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一般风险准备</w:t>
            </w:r>
          </w:p>
        </w:tc>
        <w:tc>
          <w:tcPr>
            <w:tcW w:w="190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37,500,00- </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30,000,00- </w:t>
            </w:r>
          </w:p>
        </w:tc>
      </w:tr>
      <w:tr>
        <w:tblPrEx>
          <w:tblCellMar>
            <w:top w:w="0" w:type="dxa"/>
            <w:left w:w="108" w:type="dxa"/>
            <w:bottom w:w="0" w:type="dxa"/>
            <w:right w:w="108" w:type="dxa"/>
          </w:tblCellMar>
        </w:tblPrEx>
        <w:trPr>
          <w:trHeight w:val="300" w:hRule="atLeast"/>
          <w:jc w:val="center"/>
        </w:trPr>
        <w:tc>
          <w:tcPr>
            <w:tcW w:w="1501" w:type="dxa"/>
            <w:tcBorders>
              <w:top w:val="nil"/>
              <w:left w:val="single" w:color="000000" w:sz="8" w:space="0"/>
              <w:bottom w:val="single" w:color="000000" w:sz="8" w:space="0"/>
              <w:right w:val="single" w:color="000000" w:sz="8" w:space="0"/>
            </w:tcBorders>
            <w:noWrap/>
            <w:vAlign w:val="center"/>
          </w:tcPr>
          <w:p>
            <w:pPr>
              <w:rPr>
                <w:rFonts w:ascii="仿宋_GB2312" w:hAnsi="宋体" w:eastAsia="仿宋_GB2312" w:cs="仿宋_GB2312"/>
                <w:b/>
                <w:bCs/>
                <w:color w:val="000000"/>
                <w:szCs w:val="21"/>
                <w:highlight w:val="none"/>
              </w:rPr>
            </w:pP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p>
        </w:tc>
        <w:tc>
          <w:tcPr>
            <w:tcW w:w="1980"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p>
        </w:tc>
        <w:tc>
          <w:tcPr>
            <w:tcW w:w="1770" w:type="dxa"/>
            <w:tcBorders>
              <w:top w:val="nil"/>
              <w:left w:val="single" w:color="000000" w:sz="8" w:space="0"/>
              <w:bottom w:val="single" w:color="000000" w:sz="8" w:space="0"/>
              <w:right w:val="single" w:color="000000" w:sz="8" w:space="0"/>
            </w:tcBorders>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未分配利润</w:t>
            </w:r>
          </w:p>
        </w:tc>
        <w:tc>
          <w:tcPr>
            <w:tcW w:w="190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60,913,231.57 </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60,181,641.43 </w:t>
            </w:r>
          </w:p>
        </w:tc>
      </w:tr>
      <w:tr>
        <w:tblPrEx>
          <w:tblCellMar>
            <w:top w:w="0" w:type="dxa"/>
            <w:left w:w="108" w:type="dxa"/>
            <w:bottom w:w="0" w:type="dxa"/>
            <w:right w:w="108" w:type="dxa"/>
          </w:tblCellMar>
        </w:tblPrEx>
        <w:trPr>
          <w:trHeight w:val="300" w:hRule="atLeast"/>
          <w:jc w:val="center"/>
        </w:trPr>
        <w:tc>
          <w:tcPr>
            <w:tcW w:w="1501" w:type="dxa"/>
            <w:tcBorders>
              <w:top w:val="nil"/>
              <w:left w:val="single" w:color="000000" w:sz="8" w:space="0"/>
              <w:bottom w:val="single" w:color="000000" w:sz="8" w:space="0"/>
              <w:right w:val="single" w:color="000000" w:sz="8" w:space="0"/>
            </w:tcBorders>
            <w:noWrap/>
            <w:vAlign w:val="center"/>
          </w:tcPr>
          <w:p>
            <w:pPr>
              <w:rPr>
                <w:rFonts w:ascii="仿宋_GB2312" w:hAnsi="宋体" w:eastAsia="仿宋_GB2312" w:cs="仿宋_GB2312"/>
                <w:b/>
                <w:bCs/>
                <w:color w:val="000000"/>
                <w:szCs w:val="21"/>
                <w:highlight w:val="none"/>
              </w:rPr>
            </w:pP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p>
        </w:tc>
        <w:tc>
          <w:tcPr>
            <w:tcW w:w="1980"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p>
        </w:tc>
        <w:tc>
          <w:tcPr>
            <w:tcW w:w="1770" w:type="dxa"/>
            <w:tcBorders>
              <w:top w:val="nil"/>
              <w:left w:val="single" w:color="000000" w:sz="8" w:space="0"/>
              <w:bottom w:val="single" w:color="000000" w:sz="8" w:space="0"/>
              <w:right w:val="single" w:color="000000" w:sz="8" w:space="0"/>
            </w:tcBorders>
            <w:noWrap/>
            <w:vAlign w:val="center"/>
          </w:tcPr>
          <w:p>
            <w:pPr>
              <w:widowControl/>
              <w:jc w:val="left"/>
              <w:textAlignment w:val="center"/>
              <w:rPr>
                <w:rFonts w:ascii="仿宋_GB2312" w:hAnsi="宋体" w:eastAsia="仿宋_GB2312" w:cs="仿宋_GB2312"/>
                <w:color w:val="000000"/>
                <w:szCs w:val="21"/>
                <w:highlight w:val="none"/>
              </w:rPr>
            </w:pPr>
            <w:r>
              <w:rPr>
                <w:rStyle w:val="25"/>
                <w:rFonts w:hint="default" w:hAnsi="宋体"/>
                <w:highlight w:val="none"/>
              </w:rPr>
              <w:t>所有者权益合计</w:t>
            </w:r>
          </w:p>
        </w:tc>
        <w:tc>
          <w:tcPr>
            <w:tcW w:w="190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314,560,614.40 </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304,118,104.84 </w:t>
            </w:r>
          </w:p>
        </w:tc>
      </w:tr>
      <w:tr>
        <w:tblPrEx>
          <w:tblCellMar>
            <w:top w:w="0" w:type="dxa"/>
            <w:left w:w="108" w:type="dxa"/>
            <w:bottom w:w="0" w:type="dxa"/>
            <w:right w:w="108" w:type="dxa"/>
          </w:tblCellMar>
        </w:tblPrEx>
        <w:trPr>
          <w:trHeight w:val="300" w:hRule="atLeast"/>
          <w:jc w:val="center"/>
        </w:trPr>
        <w:tc>
          <w:tcPr>
            <w:tcW w:w="1501"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_GB2312" w:hAnsi="宋体" w:eastAsia="仿宋_GB2312" w:cs="仿宋_GB2312"/>
                <w:b/>
                <w:bCs/>
                <w:color w:val="000000"/>
                <w:szCs w:val="21"/>
                <w:highlight w:val="none"/>
              </w:rPr>
            </w:pPr>
            <w:r>
              <w:rPr>
                <w:rFonts w:hint="eastAsia" w:ascii="仿宋_GB2312" w:hAnsi="宋体" w:eastAsia="仿宋_GB2312" w:cs="仿宋_GB2312"/>
                <w:b/>
                <w:bCs/>
                <w:color w:val="000000"/>
                <w:kern w:val="0"/>
                <w:szCs w:val="21"/>
                <w:highlight w:val="none"/>
              </w:rPr>
              <w:t>资产总计</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2,021,270,280.86 </w:t>
            </w:r>
          </w:p>
        </w:tc>
        <w:tc>
          <w:tcPr>
            <w:tcW w:w="1980"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1,787,898,210.73 </w:t>
            </w:r>
          </w:p>
        </w:tc>
        <w:tc>
          <w:tcPr>
            <w:tcW w:w="1770"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仿宋_GB2312" w:hAnsi="宋体" w:eastAsia="仿宋_GB2312" w:cs="仿宋_GB2312"/>
                <w:b/>
                <w:bCs/>
                <w:color w:val="000000"/>
                <w:szCs w:val="21"/>
                <w:highlight w:val="none"/>
              </w:rPr>
            </w:pPr>
            <w:r>
              <w:rPr>
                <w:rFonts w:hint="eastAsia" w:ascii="仿宋_GB2312" w:hAnsi="宋体" w:eastAsia="仿宋_GB2312" w:cs="仿宋_GB2312"/>
                <w:b/>
                <w:bCs/>
                <w:color w:val="000000"/>
                <w:kern w:val="0"/>
                <w:szCs w:val="21"/>
                <w:highlight w:val="none"/>
              </w:rPr>
              <w:t>负债和所有者权益合计</w:t>
            </w:r>
          </w:p>
        </w:tc>
        <w:tc>
          <w:tcPr>
            <w:tcW w:w="190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2,021,270,280.86 </w:t>
            </w:r>
          </w:p>
        </w:tc>
        <w:tc>
          <w:tcPr>
            <w:tcW w:w="1965" w:type="dxa"/>
            <w:tcBorders>
              <w:top w:val="nil"/>
              <w:left w:val="single" w:color="000000" w:sz="8" w:space="0"/>
              <w:bottom w:val="single" w:color="000000" w:sz="8" w:space="0"/>
              <w:right w:val="single" w:color="000000" w:sz="8" w:space="0"/>
            </w:tcBorders>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1,787,898,210.73 </w:t>
            </w:r>
          </w:p>
        </w:tc>
      </w:tr>
    </w:tbl>
    <w:p>
      <w:pPr>
        <w:spacing w:line="560" w:lineRule="exact"/>
        <w:ind w:firstLine="643" w:firstLineChars="200"/>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2、利润表</w:t>
      </w:r>
    </w:p>
    <w:p>
      <w:pPr>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编制单位：浙江柯桥联合村镇银行股份有限公司</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编制月份：2022年12月            金额单位：人民币元</w:t>
      </w:r>
    </w:p>
    <w:tbl>
      <w:tblPr>
        <w:tblStyle w:val="11"/>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7"/>
        <w:gridCol w:w="2932"/>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4587" w:type="dxa"/>
            <w:noWrap/>
            <w:vAlign w:val="center"/>
          </w:tcPr>
          <w:p>
            <w:pPr>
              <w:widowControl/>
              <w:spacing w:line="300" w:lineRule="exact"/>
              <w:jc w:val="center"/>
              <w:textAlignment w:val="center"/>
              <w:rPr>
                <w:rFonts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kern w:val="0"/>
                <w:szCs w:val="21"/>
                <w:highlight w:val="none"/>
              </w:rPr>
              <w:t>项  目</w:t>
            </w:r>
          </w:p>
        </w:tc>
        <w:tc>
          <w:tcPr>
            <w:tcW w:w="2932" w:type="dxa"/>
            <w:noWrap/>
            <w:vAlign w:val="center"/>
          </w:tcPr>
          <w:p>
            <w:pPr>
              <w:widowControl/>
              <w:spacing w:line="300" w:lineRule="exact"/>
              <w:jc w:val="center"/>
              <w:textAlignment w:val="center"/>
              <w:rPr>
                <w:rFonts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kern w:val="0"/>
                <w:szCs w:val="21"/>
                <w:highlight w:val="none"/>
              </w:rPr>
              <w:t>2022年度</w:t>
            </w:r>
          </w:p>
        </w:tc>
        <w:tc>
          <w:tcPr>
            <w:tcW w:w="2440" w:type="dxa"/>
            <w:noWrap/>
            <w:vAlign w:val="center"/>
          </w:tcPr>
          <w:p>
            <w:pPr>
              <w:widowControl/>
              <w:spacing w:line="300" w:lineRule="exact"/>
              <w:jc w:val="center"/>
              <w:textAlignment w:val="center"/>
              <w:rPr>
                <w:rFonts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kern w:val="0"/>
                <w:szCs w:val="21"/>
                <w:highlight w:val="none"/>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一、营业收入</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81,311,003.41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75,773,053.27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利息净收入</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77,339,196.53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74,663,388.19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利息收入</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117,300,641.12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120,961,466.13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利息支出</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39,961,444.59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46,298,077.94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手续费净收入</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-1,148,509.12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-727,262.42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手续费及佣金收入</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136,656.01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120,426.44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手续费及佣金支出</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1,285,165.13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847,688.86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投资收益（损失以“－”号填列）</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其中：对联营企业和合营企业的投资收益</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以摊余成本计量的金融资产终止确认收益</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净敞口套期收益(损失以“－”号填列)</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其他收益</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5,120,316.00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1,836,927.50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公允价值变动收益（损失以“－”号填列）</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汇兑收益（损失以“－”号填列）</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其他业务收入</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资产处置收益(损失以“－”号填列)</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二、营业支出</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56,255,038.93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45,833,783.63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税金及附加</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237,823.55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251,098.05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业务及管理费</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43,109,025.22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38,740,048.37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Style w:val="26"/>
                <w:rFonts w:hint="default" w:ascii="仿宋_GB2312" w:hAnsi="仿宋_GB2312" w:eastAsia="仿宋_GB2312" w:cs="仿宋_GB2312"/>
                <w:sz w:val="21"/>
                <w:szCs w:val="21"/>
                <w:highlight w:val="none"/>
              </w:rPr>
              <w:t xml:space="preserve">    信用减值损失</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12,908,190.16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6,842,637.21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其他资产减值损失</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资产减值损失</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其他业务成本</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三、营业利润（亏损以“－”号填列）</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25,055,964.48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29,939,269.64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加：营业外收入</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44,601.58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61,458.79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减：营业外支出</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70,421.75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36,922.98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四、利润总额（亏损总额以“－”号填列）</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25,030,144.31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29,963,805.45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减：所得税费用</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6,587,634.75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7,854,611.27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五、净利润（净亏损以“－”号填列）</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18,442,509.56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22,109,194.18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1．持续经营净利润(净亏损以“-”号填列)</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18,442,509.56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22,109,194.18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2．终止经营净利润(净亏损以“-”号填列)</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六、其他综合收益的税后净额</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（一）以后不能重分类进损益的其他综合收益</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1．重新计量设定受益计划变动额</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2．权益法下不能转损益的其他综合收益</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3．其他权益工具投资公允价值变动</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4．企业自身信用风险公允价值变动</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5．其他</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（二）以后将重分类进损益的其他综合收益</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1．权益法下可转损益的其他综合收益</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textAlignment w:val="center"/>
              <w:rPr>
                <w:rFonts w:ascii="仿宋_GB2312" w:hAnsi="仿宋_GB2312" w:eastAsia="仿宋_GB2312" w:cs="仿宋_GB2312"/>
                <w:color w:val="000000"/>
                <w:szCs w:val="21"/>
                <w:highlight w:val="none"/>
              </w:rPr>
            </w:pPr>
            <w:r>
              <w:rPr>
                <w:rStyle w:val="27"/>
                <w:rFonts w:hint="default" w:ascii="仿宋_GB2312" w:hAnsi="仿宋_GB2312" w:eastAsia="仿宋_GB2312" w:cs="仿宋_GB2312"/>
                <w:sz w:val="21"/>
                <w:szCs w:val="21"/>
                <w:highlight w:val="none"/>
              </w:rPr>
              <w:t xml:space="preserve">    2．其他债权投资公允价值变动</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Style w:val="26"/>
                <w:rFonts w:hint="default" w:ascii="仿宋_GB2312" w:hAnsi="仿宋_GB2312" w:eastAsia="仿宋_GB2312" w:cs="仿宋_GB2312"/>
                <w:sz w:val="21"/>
                <w:szCs w:val="21"/>
                <w:highlight w:val="none"/>
              </w:rPr>
              <w:t xml:space="preserve">    3．可供出售金融资产公允价值变动损益</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Style w:val="26"/>
                <w:rFonts w:hint="default" w:ascii="仿宋_GB2312" w:hAnsi="仿宋_GB2312" w:eastAsia="仿宋_GB2312" w:cs="仿宋_GB2312"/>
                <w:sz w:val="21"/>
                <w:szCs w:val="21"/>
                <w:highlight w:val="none"/>
              </w:rPr>
              <w:t xml:space="preserve">    4．金融资产重分类计入其他综合收益的金额</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Style w:val="26"/>
                <w:rFonts w:hint="default" w:ascii="仿宋_GB2312" w:hAnsi="仿宋_GB2312" w:eastAsia="仿宋_GB2312" w:cs="仿宋_GB2312"/>
                <w:sz w:val="21"/>
                <w:szCs w:val="21"/>
                <w:highlight w:val="none"/>
              </w:rPr>
              <w:t xml:space="preserve">    5．持有至到期投资重分类为可供出售金融资产损益</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Style w:val="26"/>
                <w:rFonts w:hint="default" w:ascii="仿宋_GB2312" w:hAnsi="仿宋_GB2312" w:eastAsia="仿宋_GB2312" w:cs="仿宋_GB2312"/>
                <w:sz w:val="21"/>
                <w:szCs w:val="21"/>
                <w:highlight w:val="none"/>
              </w:rPr>
              <w:t xml:space="preserve">    6．其他债权投资信用减值准备</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Style w:val="26"/>
                <w:rFonts w:hint="default" w:ascii="仿宋_GB2312" w:hAnsi="仿宋_GB2312" w:eastAsia="仿宋_GB2312" w:cs="仿宋_GB2312"/>
                <w:sz w:val="21"/>
                <w:szCs w:val="21"/>
                <w:highlight w:val="none"/>
              </w:rPr>
              <w:t xml:space="preserve">    7．现金流量套期储备(现金流量套期损益的有效部分)</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Style w:val="26"/>
                <w:rFonts w:hint="default" w:ascii="仿宋_GB2312" w:hAnsi="仿宋_GB2312" w:eastAsia="仿宋_GB2312" w:cs="仿宋_GB2312"/>
                <w:sz w:val="21"/>
                <w:szCs w:val="21"/>
                <w:highlight w:val="none"/>
              </w:rPr>
              <w:t xml:space="preserve">    8．外币财务报表折算差额</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Style w:val="26"/>
                <w:rFonts w:hint="default" w:ascii="仿宋_GB2312" w:hAnsi="仿宋_GB2312" w:eastAsia="仿宋_GB2312" w:cs="仿宋_GB2312"/>
                <w:sz w:val="21"/>
                <w:szCs w:val="21"/>
                <w:highlight w:val="none"/>
              </w:rPr>
              <w:t xml:space="preserve">    9．其他</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七、综合收益总额(综合亏损总额以“－”号填列)</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18,442,509.56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22,109,194.18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八、每股收益：</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587"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（一）基本每股收益</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587"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（二）稀释每股收益</w:t>
            </w:r>
          </w:p>
        </w:tc>
        <w:tc>
          <w:tcPr>
            <w:tcW w:w="2932"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c>
          <w:tcPr>
            <w:tcW w:w="2440"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r>
    </w:tbl>
    <w:p>
      <w:pPr>
        <w:spacing w:line="560" w:lineRule="exact"/>
        <w:ind w:firstLine="643" w:firstLineChars="200"/>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3、现金流量表</w:t>
      </w:r>
    </w:p>
    <w:p>
      <w:pPr>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编制单位：浙江柯桥联合村镇银行股份有限公司</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编制月份：2022年12月            金额单位：人民币元</w:t>
      </w:r>
    </w:p>
    <w:tbl>
      <w:tblPr>
        <w:tblStyle w:val="11"/>
        <w:tblW w:w="10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6"/>
        <w:gridCol w:w="2405"/>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566" w:type="dxa"/>
            <w:noWrap/>
            <w:vAlign w:val="center"/>
          </w:tcPr>
          <w:p>
            <w:pPr>
              <w:widowControl/>
              <w:spacing w:line="300" w:lineRule="exact"/>
              <w:jc w:val="center"/>
              <w:textAlignment w:val="center"/>
              <w:rPr>
                <w:rFonts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kern w:val="0"/>
                <w:szCs w:val="21"/>
                <w:highlight w:val="none"/>
              </w:rPr>
              <w:t>项  目</w:t>
            </w:r>
          </w:p>
        </w:tc>
        <w:tc>
          <w:tcPr>
            <w:tcW w:w="2405" w:type="dxa"/>
            <w:noWrap/>
            <w:vAlign w:val="center"/>
          </w:tcPr>
          <w:p>
            <w:pPr>
              <w:widowControl/>
              <w:spacing w:line="300" w:lineRule="exact"/>
              <w:jc w:val="center"/>
              <w:textAlignment w:val="center"/>
              <w:rPr>
                <w:rFonts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kern w:val="0"/>
                <w:szCs w:val="21"/>
                <w:highlight w:val="none"/>
              </w:rPr>
              <w:t>2022年度</w:t>
            </w:r>
          </w:p>
        </w:tc>
        <w:tc>
          <w:tcPr>
            <w:tcW w:w="2426" w:type="dxa"/>
            <w:noWrap/>
            <w:vAlign w:val="center"/>
          </w:tcPr>
          <w:p>
            <w:pPr>
              <w:widowControl/>
              <w:spacing w:line="300" w:lineRule="exact"/>
              <w:jc w:val="center"/>
              <w:textAlignment w:val="center"/>
              <w:rPr>
                <w:rFonts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kern w:val="0"/>
                <w:szCs w:val="21"/>
                <w:highlight w:val="none"/>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566"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一、经营活动产生的现金流量：</w:t>
            </w:r>
          </w:p>
        </w:tc>
        <w:tc>
          <w:tcPr>
            <w:tcW w:w="2405" w:type="dxa"/>
            <w:noWrap/>
            <w:vAlign w:val="center"/>
          </w:tcPr>
          <w:p>
            <w:pPr>
              <w:widowControl/>
              <w:spacing w:line="300" w:lineRule="exact"/>
              <w:jc w:val="right"/>
              <w:rPr>
                <w:rFonts w:ascii="仿宋_GB2312" w:hAnsi="仿宋_GB2312" w:eastAsia="仿宋_GB2312" w:cs="仿宋_GB2312"/>
                <w:color w:val="000000"/>
                <w:szCs w:val="21"/>
                <w:highlight w:val="none"/>
              </w:rPr>
            </w:pPr>
          </w:p>
        </w:tc>
        <w:tc>
          <w:tcPr>
            <w:tcW w:w="2426" w:type="dxa"/>
            <w:noWrap/>
            <w:vAlign w:val="center"/>
          </w:tcPr>
          <w:p>
            <w:pPr>
              <w:widowControl/>
              <w:spacing w:line="300" w:lineRule="exact"/>
              <w:jc w:val="right"/>
              <w:rPr>
                <w:rFonts w:ascii="仿宋_GB2312" w:hAnsi="仿宋_GB2312" w:eastAsia="仿宋_GB2312" w:cs="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566"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客户存款和同业存放款项净增加额</w:t>
            </w:r>
          </w:p>
        </w:tc>
        <w:tc>
          <w:tcPr>
            <w:tcW w:w="2405"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368,355,122.54 </w:t>
            </w:r>
          </w:p>
        </w:tc>
        <w:tc>
          <w:tcPr>
            <w:tcW w:w="2426"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-91,495,871.80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566"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向中央银行借款净增加额</w:t>
            </w:r>
          </w:p>
        </w:tc>
        <w:tc>
          <w:tcPr>
            <w:tcW w:w="2405"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-155,819,834.00 </w:t>
            </w:r>
          </w:p>
        </w:tc>
        <w:tc>
          <w:tcPr>
            <w:tcW w:w="2426"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-421,777,808.00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566"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向其他金融机构拆入资金净增加额</w:t>
            </w:r>
          </w:p>
        </w:tc>
        <w:tc>
          <w:tcPr>
            <w:tcW w:w="2405"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c>
          <w:tcPr>
            <w:tcW w:w="2426"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566"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收取利息、手续费及佣金的现金</w:t>
            </w:r>
          </w:p>
        </w:tc>
        <w:tc>
          <w:tcPr>
            <w:tcW w:w="2405"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118,291,984.47 </w:t>
            </w:r>
          </w:p>
        </w:tc>
        <w:tc>
          <w:tcPr>
            <w:tcW w:w="2426"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124,198,994.61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566"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收到其他与经营活动有关的现金</w:t>
            </w:r>
          </w:p>
        </w:tc>
        <w:tc>
          <w:tcPr>
            <w:tcW w:w="2405"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5,164,917.58 </w:t>
            </w:r>
          </w:p>
        </w:tc>
        <w:tc>
          <w:tcPr>
            <w:tcW w:w="2426"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3,274,871.65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566"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经营活动现金流入小计</w:t>
            </w:r>
          </w:p>
        </w:tc>
        <w:tc>
          <w:tcPr>
            <w:tcW w:w="2405"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335,992,190.59 </w:t>
            </w:r>
          </w:p>
        </w:tc>
        <w:tc>
          <w:tcPr>
            <w:tcW w:w="2426"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-385,799,813.54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566"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客户贷款及垫款净增加额</w:t>
            </w:r>
          </w:p>
        </w:tc>
        <w:tc>
          <w:tcPr>
            <w:tcW w:w="2405"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67,136,055.87 </w:t>
            </w:r>
          </w:p>
        </w:tc>
        <w:tc>
          <w:tcPr>
            <w:tcW w:w="2426"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7,749,525.60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566"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存放中央银行和同业款项净增加额</w:t>
            </w:r>
          </w:p>
        </w:tc>
        <w:tc>
          <w:tcPr>
            <w:tcW w:w="2405"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16,518,945.90 </w:t>
            </w:r>
          </w:p>
        </w:tc>
        <w:tc>
          <w:tcPr>
            <w:tcW w:w="2426"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-157,720,835.13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566"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支付利息、手续费及佣金的现金</w:t>
            </w:r>
          </w:p>
        </w:tc>
        <w:tc>
          <w:tcPr>
            <w:tcW w:w="2405"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47,228,378.01 </w:t>
            </w:r>
          </w:p>
        </w:tc>
        <w:tc>
          <w:tcPr>
            <w:tcW w:w="2426"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34,803,662.60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566"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支付给职工以及为职工支付的现金</w:t>
            </w:r>
          </w:p>
        </w:tc>
        <w:tc>
          <w:tcPr>
            <w:tcW w:w="2405"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25,199,665.69 </w:t>
            </w:r>
          </w:p>
        </w:tc>
        <w:tc>
          <w:tcPr>
            <w:tcW w:w="2426"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23,925,055.15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566"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支付的各项税费</w:t>
            </w:r>
          </w:p>
        </w:tc>
        <w:tc>
          <w:tcPr>
            <w:tcW w:w="2405"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11,648,367.35 </w:t>
            </w:r>
          </w:p>
        </w:tc>
        <w:tc>
          <w:tcPr>
            <w:tcW w:w="2426"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10,956,074.25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566"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支付其他与经营活动有关的现金</w:t>
            </w:r>
          </w:p>
        </w:tc>
        <w:tc>
          <w:tcPr>
            <w:tcW w:w="2405"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12,360,851.87 </w:t>
            </w:r>
          </w:p>
        </w:tc>
        <w:tc>
          <w:tcPr>
            <w:tcW w:w="2426"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10,439,876.56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566"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经营活动现金流出小计</w:t>
            </w:r>
          </w:p>
        </w:tc>
        <w:tc>
          <w:tcPr>
            <w:tcW w:w="2405"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180,092,264.69 </w:t>
            </w:r>
          </w:p>
        </w:tc>
        <w:tc>
          <w:tcPr>
            <w:tcW w:w="2426"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-69,846,640.97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566" w:type="dxa"/>
            <w:noWrap/>
            <w:vAlign w:val="center"/>
          </w:tcPr>
          <w:p>
            <w:pPr>
              <w:widowControl/>
              <w:spacing w:line="300" w:lineRule="exact"/>
              <w:jc w:val="center"/>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经营活动产生的现金流量净额</w:t>
            </w:r>
          </w:p>
        </w:tc>
        <w:tc>
          <w:tcPr>
            <w:tcW w:w="2405"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155,899,925.90 </w:t>
            </w:r>
          </w:p>
        </w:tc>
        <w:tc>
          <w:tcPr>
            <w:tcW w:w="2426"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-315,953,172.57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566"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二、投资活动产生的现金流量：</w:t>
            </w:r>
          </w:p>
        </w:tc>
        <w:tc>
          <w:tcPr>
            <w:tcW w:w="2405"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w:t>
            </w:r>
          </w:p>
        </w:tc>
        <w:tc>
          <w:tcPr>
            <w:tcW w:w="2426"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566"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收回投资收到的现金</w:t>
            </w:r>
          </w:p>
        </w:tc>
        <w:tc>
          <w:tcPr>
            <w:tcW w:w="2405"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c>
          <w:tcPr>
            <w:tcW w:w="2426"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566"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取得投资收益收到的现金</w:t>
            </w:r>
          </w:p>
        </w:tc>
        <w:tc>
          <w:tcPr>
            <w:tcW w:w="2405"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c>
          <w:tcPr>
            <w:tcW w:w="2426"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5566"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处置固定资产、无形资产和其他长期资产收回的</w:t>
            </w:r>
            <w:r>
              <w:rPr>
                <w:rFonts w:hint="eastAsia" w:ascii="仿宋_GB2312" w:hAnsi="仿宋_GB2312" w:eastAsia="仿宋_GB2312" w:cs="仿宋_GB2312"/>
                <w:color w:val="000000"/>
                <w:kern w:val="0"/>
                <w:szCs w:val="21"/>
                <w:highlight w:val="none"/>
              </w:rPr>
              <w:br w:type="textWrapping"/>
            </w:r>
            <w:r>
              <w:rPr>
                <w:rFonts w:hint="eastAsia" w:ascii="仿宋_GB2312" w:hAnsi="仿宋_GB2312" w:eastAsia="仿宋_GB2312" w:cs="仿宋_GB2312"/>
                <w:color w:val="000000"/>
                <w:kern w:val="0"/>
                <w:szCs w:val="21"/>
                <w:highlight w:val="none"/>
              </w:rPr>
              <w:t xml:space="preserve">    现金净额</w:t>
            </w:r>
          </w:p>
        </w:tc>
        <w:tc>
          <w:tcPr>
            <w:tcW w:w="2405"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c>
          <w:tcPr>
            <w:tcW w:w="2426"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566"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收到其他与投资活动有关的现金</w:t>
            </w:r>
          </w:p>
        </w:tc>
        <w:tc>
          <w:tcPr>
            <w:tcW w:w="2405" w:type="dxa"/>
            <w:noWrap/>
            <w:vAlign w:val="center"/>
          </w:tcPr>
          <w:p>
            <w:pPr>
              <w:jc w:val="right"/>
              <w:rPr>
                <w:rFonts w:ascii="仿宋_GB2312" w:hAnsi="宋体" w:eastAsia="仿宋_GB2312" w:cs="仿宋_GB2312"/>
                <w:color w:val="000000"/>
                <w:kern w:val="0"/>
                <w:szCs w:val="21"/>
                <w:highlight w:val="none"/>
              </w:rPr>
            </w:pPr>
          </w:p>
        </w:tc>
        <w:tc>
          <w:tcPr>
            <w:tcW w:w="2426" w:type="dxa"/>
            <w:noWrap/>
            <w:vAlign w:val="center"/>
          </w:tcPr>
          <w:p>
            <w:pPr>
              <w:jc w:val="right"/>
              <w:rPr>
                <w:rFonts w:ascii="仿宋_GB2312" w:hAnsi="宋体" w:eastAsia="仿宋_GB2312" w:cs="仿宋_GB2312"/>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566"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投资活动现金流入小计</w:t>
            </w:r>
          </w:p>
        </w:tc>
        <w:tc>
          <w:tcPr>
            <w:tcW w:w="2405"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c>
          <w:tcPr>
            <w:tcW w:w="2426"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566"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投资支付的现金</w:t>
            </w:r>
          </w:p>
        </w:tc>
        <w:tc>
          <w:tcPr>
            <w:tcW w:w="2405"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c>
          <w:tcPr>
            <w:tcW w:w="2426"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5566"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购建固定资产、无形资产和其他长期资产支付的</w:t>
            </w:r>
            <w:r>
              <w:rPr>
                <w:rFonts w:hint="eastAsia" w:ascii="仿宋_GB2312" w:hAnsi="仿宋_GB2312" w:eastAsia="仿宋_GB2312" w:cs="仿宋_GB2312"/>
                <w:color w:val="000000"/>
                <w:kern w:val="0"/>
                <w:szCs w:val="21"/>
                <w:highlight w:val="none"/>
              </w:rPr>
              <w:br w:type="textWrapping"/>
            </w:r>
            <w:r>
              <w:rPr>
                <w:rFonts w:hint="eastAsia" w:ascii="仿宋_GB2312" w:hAnsi="仿宋_GB2312" w:eastAsia="仿宋_GB2312" w:cs="仿宋_GB2312"/>
                <w:color w:val="000000"/>
                <w:kern w:val="0"/>
                <w:szCs w:val="21"/>
                <w:highlight w:val="none"/>
              </w:rPr>
              <w:t xml:space="preserve">    现金</w:t>
            </w:r>
          </w:p>
        </w:tc>
        <w:tc>
          <w:tcPr>
            <w:tcW w:w="2405"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c>
          <w:tcPr>
            <w:tcW w:w="2426"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566"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支付其他与投资活动有关的现金</w:t>
            </w:r>
          </w:p>
        </w:tc>
        <w:tc>
          <w:tcPr>
            <w:tcW w:w="2405"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1,640,043.29 </w:t>
            </w:r>
          </w:p>
        </w:tc>
        <w:tc>
          <w:tcPr>
            <w:tcW w:w="2426"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1,063,148.38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566"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投资活动现金流出小计</w:t>
            </w:r>
          </w:p>
        </w:tc>
        <w:tc>
          <w:tcPr>
            <w:tcW w:w="2405" w:type="dxa"/>
            <w:noWrap/>
            <w:vAlign w:val="center"/>
          </w:tcPr>
          <w:p>
            <w:pPr>
              <w:jc w:val="right"/>
              <w:rPr>
                <w:rFonts w:ascii="仿宋_GB2312" w:hAnsi="宋体" w:eastAsia="仿宋_GB2312" w:cs="仿宋_GB2312"/>
                <w:color w:val="000000"/>
                <w:kern w:val="0"/>
                <w:szCs w:val="21"/>
                <w:highlight w:val="none"/>
              </w:rPr>
            </w:pPr>
          </w:p>
        </w:tc>
        <w:tc>
          <w:tcPr>
            <w:tcW w:w="2426" w:type="dxa"/>
            <w:noWrap/>
            <w:vAlign w:val="center"/>
          </w:tcPr>
          <w:p>
            <w:pPr>
              <w:jc w:val="right"/>
              <w:rPr>
                <w:rFonts w:ascii="仿宋_GB2312" w:hAnsi="宋体" w:eastAsia="仿宋_GB2312" w:cs="仿宋_GB2312"/>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566" w:type="dxa"/>
            <w:noWrap/>
            <w:vAlign w:val="center"/>
          </w:tcPr>
          <w:p>
            <w:pPr>
              <w:widowControl/>
              <w:spacing w:line="300" w:lineRule="exact"/>
              <w:jc w:val="center"/>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投资活动产生的现金流量净额</w:t>
            </w:r>
          </w:p>
        </w:tc>
        <w:tc>
          <w:tcPr>
            <w:tcW w:w="2405"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c>
          <w:tcPr>
            <w:tcW w:w="2426"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566"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三、筹资活动产生的现金流量：</w:t>
            </w:r>
          </w:p>
        </w:tc>
        <w:tc>
          <w:tcPr>
            <w:tcW w:w="2405"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1,640,043.29 </w:t>
            </w:r>
          </w:p>
        </w:tc>
        <w:tc>
          <w:tcPr>
            <w:tcW w:w="2426"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1,063,148.38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566"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吸收投资收到的现金</w:t>
            </w:r>
          </w:p>
        </w:tc>
        <w:tc>
          <w:tcPr>
            <w:tcW w:w="2405"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-1,640,043.29 </w:t>
            </w:r>
          </w:p>
        </w:tc>
        <w:tc>
          <w:tcPr>
            <w:tcW w:w="2426"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-1,063,148.38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566"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发行债券收到的现金</w:t>
            </w:r>
          </w:p>
        </w:tc>
        <w:tc>
          <w:tcPr>
            <w:tcW w:w="2405"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w:t>
            </w:r>
          </w:p>
        </w:tc>
        <w:tc>
          <w:tcPr>
            <w:tcW w:w="2426"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566"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收到其他与筹资活动有关的现金</w:t>
            </w:r>
          </w:p>
        </w:tc>
        <w:tc>
          <w:tcPr>
            <w:tcW w:w="2405"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c>
          <w:tcPr>
            <w:tcW w:w="2426"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566"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筹资活动现金流入小计</w:t>
            </w:r>
          </w:p>
        </w:tc>
        <w:tc>
          <w:tcPr>
            <w:tcW w:w="2405"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c>
          <w:tcPr>
            <w:tcW w:w="2426"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566"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偿还债务支付的现金</w:t>
            </w:r>
          </w:p>
        </w:tc>
        <w:tc>
          <w:tcPr>
            <w:tcW w:w="2405"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c>
          <w:tcPr>
            <w:tcW w:w="2426"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566"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分配股利、利润或偿付利息支付的现金</w:t>
            </w:r>
          </w:p>
        </w:tc>
        <w:tc>
          <w:tcPr>
            <w:tcW w:w="2405"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c>
          <w:tcPr>
            <w:tcW w:w="2426"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566"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支付其他与筹资活动有关的现金</w:t>
            </w:r>
          </w:p>
        </w:tc>
        <w:tc>
          <w:tcPr>
            <w:tcW w:w="2405"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c>
          <w:tcPr>
            <w:tcW w:w="2426"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566"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筹资活动现金流出小计</w:t>
            </w:r>
          </w:p>
        </w:tc>
        <w:tc>
          <w:tcPr>
            <w:tcW w:w="2405"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8,000,000.00 </w:t>
            </w:r>
          </w:p>
        </w:tc>
        <w:tc>
          <w:tcPr>
            <w:tcW w:w="2426"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8,000,000.00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566" w:type="dxa"/>
            <w:noWrap/>
            <w:vAlign w:val="center"/>
          </w:tcPr>
          <w:p>
            <w:pPr>
              <w:widowControl/>
              <w:spacing w:line="300" w:lineRule="exact"/>
              <w:jc w:val="center"/>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筹资活动产生的现金流量净额</w:t>
            </w:r>
          </w:p>
        </w:tc>
        <w:tc>
          <w:tcPr>
            <w:tcW w:w="2405"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3,770,280.30 </w:t>
            </w:r>
          </w:p>
        </w:tc>
        <w:tc>
          <w:tcPr>
            <w:tcW w:w="2426"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5,353,928.00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566"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四、汇率变动对现金及现金等价物的影响</w:t>
            </w:r>
          </w:p>
        </w:tc>
        <w:tc>
          <w:tcPr>
            <w:tcW w:w="2405"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11,770,280.30 </w:t>
            </w:r>
          </w:p>
        </w:tc>
        <w:tc>
          <w:tcPr>
            <w:tcW w:w="2426"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13,353,928.00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566"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五、现金及现金等价物净增加额</w:t>
            </w:r>
          </w:p>
        </w:tc>
        <w:tc>
          <w:tcPr>
            <w:tcW w:w="2405"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-11,770,280.30 </w:t>
            </w:r>
          </w:p>
        </w:tc>
        <w:tc>
          <w:tcPr>
            <w:tcW w:w="2426"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-13,353,928.00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566"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 xml:space="preserve">    加：期初现金及现金等价物余额</w:t>
            </w:r>
          </w:p>
        </w:tc>
        <w:tc>
          <w:tcPr>
            <w:tcW w:w="2405"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c>
          <w:tcPr>
            <w:tcW w:w="2426"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566" w:type="dxa"/>
            <w:noWrap/>
            <w:vAlign w:val="center"/>
          </w:tcPr>
          <w:p>
            <w:pPr>
              <w:widowControl/>
              <w:spacing w:line="300" w:lineRule="exact"/>
              <w:jc w:val="left"/>
              <w:textAlignment w:val="center"/>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rPr>
              <w:t>六、期末现金及现金等价物余额</w:t>
            </w:r>
          </w:p>
        </w:tc>
        <w:tc>
          <w:tcPr>
            <w:tcW w:w="2405"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142,489,602.31 </w:t>
            </w:r>
          </w:p>
        </w:tc>
        <w:tc>
          <w:tcPr>
            <w:tcW w:w="2426" w:type="dxa"/>
            <w:noWrap/>
            <w:vAlign w:val="center"/>
          </w:tcPr>
          <w:p>
            <w:pPr>
              <w:jc w:val="right"/>
              <w:rPr>
                <w:rFonts w:ascii="仿宋_GB2312" w:hAnsi="宋体" w:eastAsia="仿宋_GB2312" w:cs="仿宋_GB2312"/>
                <w:color w:val="000000"/>
                <w:kern w:val="0"/>
                <w:szCs w:val="21"/>
                <w:highlight w:val="none"/>
              </w:rPr>
            </w:pPr>
            <w:r>
              <w:rPr>
                <w:rFonts w:hint="eastAsia" w:ascii="仿宋_GB2312" w:hAnsi="宋体" w:eastAsia="仿宋_GB2312" w:cs="仿宋_GB2312"/>
                <w:color w:val="000000"/>
                <w:kern w:val="0"/>
                <w:szCs w:val="21"/>
                <w:highlight w:val="none"/>
              </w:rPr>
              <w:t xml:space="preserve">-330,370,248.95 </w:t>
            </w:r>
          </w:p>
        </w:tc>
      </w:tr>
    </w:tbl>
    <w:p>
      <w:pPr>
        <w:spacing w:line="560" w:lineRule="exact"/>
        <w:ind w:firstLine="643" w:firstLineChars="200"/>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4、所有者权益变动表</w:t>
      </w:r>
    </w:p>
    <w:p>
      <w:pPr>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编制单位：浙江柯桥联合村镇银行股份有限公司</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编制月份：2022年12月            金额单位：人民币元</w:t>
      </w:r>
    </w:p>
    <w:tbl>
      <w:tblPr>
        <w:tblStyle w:val="11"/>
        <w:tblpPr w:leftFromText="180" w:rightFromText="180" w:vertAnchor="text" w:horzAnchor="page" w:tblpXSpec="center" w:tblpY="577"/>
        <w:tblOverlap w:val="never"/>
        <w:tblW w:w="11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1771"/>
        <w:gridCol w:w="1878"/>
        <w:gridCol w:w="1762"/>
        <w:gridCol w:w="1878"/>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869" w:type="dxa"/>
            <w:vMerge w:val="restart"/>
            <w:noWrap/>
            <w:vAlign w:val="center"/>
          </w:tcPr>
          <w:p>
            <w:pPr>
              <w:widowControl/>
              <w:jc w:val="center"/>
              <w:textAlignment w:val="center"/>
              <w:rPr>
                <w:rFonts w:ascii="仿宋_GB2312" w:hAnsi="宋体" w:eastAsia="仿宋_GB2312" w:cs="仿宋_GB2312"/>
                <w:b/>
                <w:bCs/>
                <w:color w:val="000000"/>
                <w:szCs w:val="21"/>
                <w:highlight w:val="none"/>
              </w:rPr>
            </w:pPr>
            <w:r>
              <w:rPr>
                <w:rFonts w:hint="eastAsia" w:ascii="仿宋_GB2312" w:hAnsi="宋体" w:eastAsia="仿宋_GB2312" w:cs="仿宋_GB2312"/>
                <w:b/>
                <w:bCs/>
                <w:color w:val="000000"/>
                <w:kern w:val="0"/>
                <w:szCs w:val="21"/>
                <w:highlight w:val="none"/>
              </w:rPr>
              <w:t>项  目</w:t>
            </w:r>
          </w:p>
        </w:tc>
        <w:tc>
          <w:tcPr>
            <w:tcW w:w="9170" w:type="dxa"/>
            <w:gridSpan w:val="5"/>
            <w:noWrap/>
            <w:vAlign w:val="center"/>
          </w:tcPr>
          <w:p>
            <w:pPr>
              <w:widowControl/>
              <w:jc w:val="center"/>
              <w:textAlignment w:val="center"/>
              <w:rPr>
                <w:rFonts w:ascii="仿宋_GB2312" w:hAnsi="宋体" w:eastAsia="仿宋_GB2312" w:cs="仿宋_GB2312"/>
                <w:b/>
                <w:bCs/>
                <w:color w:val="000000"/>
                <w:szCs w:val="21"/>
                <w:highlight w:val="none"/>
              </w:rPr>
            </w:pPr>
            <w:r>
              <w:rPr>
                <w:rFonts w:hint="eastAsia" w:ascii="仿宋_GB2312" w:hAnsi="宋体" w:eastAsia="仿宋_GB2312" w:cs="仿宋_GB2312"/>
                <w:b/>
                <w:bCs/>
                <w:color w:val="000000"/>
                <w:kern w:val="0"/>
                <w:szCs w:val="21"/>
                <w:highlight w:val="none"/>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69" w:type="dxa"/>
            <w:vMerge w:val="continue"/>
            <w:noWrap/>
            <w:vAlign w:val="center"/>
          </w:tcPr>
          <w:p>
            <w:pPr>
              <w:jc w:val="center"/>
              <w:rPr>
                <w:rFonts w:ascii="仿宋_GB2312" w:hAnsi="宋体" w:eastAsia="仿宋_GB2312" w:cs="仿宋_GB2312"/>
                <w:b/>
                <w:bCs/>
                <w:color w:val="000000"/>
                <w:szCs w:val="21"/>
                <w:highlight w:val="none"/>
              </w:rPr>
            </w:pPr>
          </w:p>
        </w:tc>
        <w:tc>
          <w:tcPr>
            <w:tcW w:w="1771" w:type="dxa"/>
            <w:vMerge w:val="restart"/>
            <w:noWrap/>
            <w:vAlign w:val="center"/>
          </w:tcPr>
          <w:p>
            <w:pPr>
              <w:widowControl/>
              <w:jc w:val="center"/>
              <w:textAlignment w:val="center"/>
              <w:rPr>
                <w:rFonts w:ascii="仿宋_GB2312" w:hAnsi="宋体" w:eastAsia="仿宋_GB2312" w:cs="仿宋_GB2312"/>
                <w:b/>
                <w:bCs/>
                <w:color w:val="000000"/>
                <w:szCs w:val="21"/>
                <w:highlight w:val="none"/>
              </w:rPr>
            </w:pPr>
            <w:r>
              <w:rPr>
                <w:rFonts w:hint="eastAsia" w:ascii="仿宋_GB2312" w:hAnsi="宋体" w:eastAsia="仿宋_GB2312" w:cs="仿宋_GB2312"/>
                <w:b/>
                <w:bCs/>
                <w:color w:val="000000"/>
                <w:kern w:val="0"/>
                <w:szCs w:val="21"/>
                <w:highlight w:val="none"/>
              </w:rPr>
              <w:t>股本</w:t>
            </w:r>
          </w:p>
        </w:tc>
        <w:tc>
          <w:tcPr>
            <w:tcW w:w="1878" w:type="dxa"/>
            <w:vMerge w:val="restart"/>
            <w:noWrap/>
            <w:vAlign w:val="center"/>
          </w:tcPr>
          <w:p>
            <w:pPr>
              <w:widowControl/>
              <w:jc w:val="center"/>
              <w:textAlignment w:val="center"/>
              <w:rPr>
                <w:rFonts w:ascii="仿宋_GB2312" w:hAnsi="宋体" w:eastAsia="仿宋_GB2312" w:cs="仿宋_GB2312"/>
                <w:b/>
                <w:bCs/>
                <w:color w:val="000000"/>
                <w:szCs w:val="21"/>
                <w:highlight w:val="none"/>
              </w:rPr>
            </w:pPr>
            <w:r>
              <w:rPr>
                <w:rFonts w:hint="eastAsia" w:ascii="仿宋_GB2312" w:hAnsi="宋体" w:eastAsia="仿宋_GB2312" w:cs="仿宋_GB2312"/>
                <w:b/>
                <w:bCs/>
                <w:color w:val="000000"/>
                <w:kern w:val="0"/>
                <w:szCs w:val="21"/>
                <w:highlight w:val="none"/>
              </w:rPr>
              <w:t>盈余公积</w:t>
            </w:r>
          </w:p>
        </w:tc>
        <w:tc>
          <w:tcPr>
            <w:tcW w:w="1762" w:type="dxa"/>
            <w:vMerge w:val="restart"/>
            <w:noWrap/>
            <w:vAlign w:val="center"/>
          </w:tcPr>
          <w:p>
            <w:pPr>
              <w:widowControl/>
              <w:jc w:val="center"/>
              <w:textAlignment w:val="center"/>
              <w:rPr>
                <w:rFonts w:ascii="仿宋_GB2312" w:hAnsi="宋体" w:eastAsia="仿宋_GB2312" w:cs="仿宋_GB2312"/>
                <w:b/>
                <w:bCs/>
                <w:color w:val="000000"/>
                <w:szCs w:val="21"/>
                <w:highlight w:val="none"/>
              </w:rPr>
            </w:pPr>
            <w:r>
              <w:rPr>
                <w:rFonts w:hint="eastAsia" w:ascii="仿宋_GB2312" w:hAnsi="宋体" w:eastAsia="仿宋_GB2312" w:cs="仿宋_GB2312"/>
                <w:b/>
                <w:bCs/>
                <w:color w:val="000000"/>
                <w:kern w:val="0"/>
                <w:szCs w:val="21"/>
                <w:highlight w:val="none"/>
              </w:rPr>
              <w:t>一般风险准备</w:t>
            </w:r>
          </w:p>
        </w:tc>
        <w:tc>
          <w:tcPr>
            <w:tcW w:w="1878" w:type="dxa"/>
            <w:vMerge w:val="restart"/>
            <w:noWrap/>
            <w:vAlign w:val="center"/>
          </w:tcPr>
          <w:p>
            <w:pPr>
              <w:widowControl/>
              <w:jc w:val="center"/>
              <w:textAlignment w:val="center"/>
              <w:rPr>
                <w:rFonts w:ascii="仿宋_GB2312" w:hAnsi="宋体" w:eastAsia="仿宋_GB2312" w:cs="仿宋_GB2312"/>
                <w:b/>
                <w:bCs/>
                <w:color w:val="000000"/>
                <w:szCs w:val="21"/>
                <w:highlight w:val="none"/>
              </w:rPr>
            </w:pPr>
            <w:r>
              <w:rPr>
                <w:rFonts w:hint="eastAsia" w:ascii="仿宋_GB2312" w:hAnsi="宋体" w:eastAsia="仿宋_GB2312" w:cs="仿宋_GB2312"/>
                <w:b/>
                <w:bCs/>
                <w:color w:val="000000"/>
                <w:kern w:val="0"/>
                <w:szCs w:val="21"/>
                <w:highlight w:val="none"/>
              </w:rPr>
              <w:t>未分配利润</w:t>
            </w:r>
          </w:p>
        </w:tc>
        <w:tc>
          <w:tcPr>
            <w:tcW w:w="1881" w:type="dxa"/>
            <w:vMerge w:val="restart"/>
            <w:noWrap/>
            <w:vAlign w:val="center"/>
          </w:tcPr>
          <w:p>
            <w:pPr>
              <w:widowControl/>
              <w:jc w:val="center"/>
              <w:textAlignment w:val="center"/>
              <w:rPr>
                <w:rFonts w:ascii="仿宋_GB2312" w:hAnsi="宋体" w:eastAsia="仿宋_GB2312" w:cs="仿宋_GB2312"/>
                <w:b/>
                <w:bCs/>
                <w:color w:val="000000"/>
                <w:szCs w:val="21"/>
                <w:highlight w:val="none"/>
              </w:rPr>
            </w:pPr>
            <w:r>
              <w:rPr>
                <w:rFonts w:hint="eastAsia" w:ascii="仿宋_GB2312" w:hAnsi="宋体" w:eastAsia="仿宋_GB2312" w:cs="仿宋_GB2312"/>
                <w:b/>
                <w:bCs/>
                <w:color w:val="000000"/>
                <w:kern w:val="0"/>
                <w:szCs w:val="21"/>
                <w:highlight w:val="none"/>
              </w:rPr>
              <w:t>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69" w:type="dxa"/>
            <w:vMerge w:val="continue"/>
            <w:noWrap/>
            <w:vAlign w:val="center"/>
          </w:tcPr>
          <w:p>
            <w:pPr>
              <w:jc w:val="center"/>
              <w:rPr>
                <w:rFonts w:ascii="仿宋_GB2312" w:hAnsi="宋体" w:eastAsia="仿宋_GB2312" w:cs="仿宋_GB2312"/>
                <w:b/>
                <w:bCs/>
                <w:color w:val="000000"/>
                <w:szCs w:val="21"/>
                <w:highlight w:val="none"/>
              </w:rPr>
            </w:pPr>
          </w:p>
        </w:tc>
        <w:tc>
          <w:tcPr>
            <w:tcW w:w="1771" w:type="dxa"/>
            <w:vMerge w:val="continue"/>
            <w:noWrap/>
            <w:vAlign w:val="center"/>
          </w:tcPr>
          <w:p>
            <w:pPr>
              <w:jc w:val="center"/>
              <w:rPr>
                <w:rFonts w:ascii="仿宋_GB2312" w:hAnsi="宋体" w:eastAsia="仿宋_GB2312" w:cs="仿宋_GB2312"/>
                <w:b/>
                <w:bCs/>
                <w:color w:val="000000"/>
                <w:szCs w:val="21"/>
                <w:highlight w:val="none"/>
              </w:rPr>
            </w:pPr>
          </w:p>
        </w:tc>
        <w:tc>
          <w:tcPr>
            <w:tcW w:w="1878" w:type="dxa"/>
            <w:vMerge w:val="continue"/>
            <w:noWrap/>
            <w:vAlign w:val="center"/>
          </w:tcPr>
          <w:p>
            <w:pPr>
              <w:jc w:val="center"/>
              <w:rPr>
                <w:rFonts w:ascii="仿宋_GB2312" w:hAnsi="宋体" w:eastAsia="仿宋_GB2312" w:cs="仿宋_GB2312"/>
                <w:b/>
                <w:bCs/>
                <w:color w:val="000000"/>
                <w:szCs w:val="21"/>
                <w:highlight w:val="none"/>
              </w:rPr>
            </w:pPr>
          </w:p>
        </w:tc>
        <w:tc>
          <w:tcPr>
            <w:tcW w:w="1762" w:type="dxa"/>
            <w:vMerge w:val="continue"/>
            <w:noWrap/>
            <w:vAlign w:val="center"/>
          </w:tcPr>
          <w:p>
            <w:pPr>
              <w:jc w:val="center"/>
              <w:rPr>
                <w:rFonts w:ascii="仿宋_GB2312" w:hAnsi="宋体" w:eastAsia="仿宋_GB2312" w:cs="仿宋_GB2312"/>
                <w:b/>
                <w:bCs/>
                <w:color w:val="000000"/>
                <w:szCs w:val="21"/>
                <w:highlight w:val="none"/>
              </w:rPr>
            </w:pPr>
          </w:p>
        </w:tc>
        <w:tc>
          <w:tcPr>
            <w:tcW w:w="1878" w:type="dxa"/>
            <w:vMerge w:val="continue"/>
            <w:noWrap/>
            <w:vAlign w:val="center"/>
          </w:tcPr>
          <w:p>
            <w:pPr>
              <w:jc w:val="center"/>
              <w:rPr>
                <w:rFonts w:ascii="仿宋_GB2312" w:hAnsi="宋体" w:eastAsia="仿宋_GB2312" w:cs="仿宋_GB2312"/>
                <w:b/>
                <w:bCs/>
                <w:color w:val="000000"/>
                <w:szCs w:val="21"/>
                <w:highlight w:val="none"/>
              </w:rPr>
            </w:pPr>
          </w:p>
        </w:tc>
        <w:tc>
          <w:tcPr>
            <w:tcW w:w="1881" w:type="dxa"/>
            <w:vMerge w:val="continue"/>
            <w:noWrap/>
            <w:vAlign w:val="center"/>
          </w:tcPr>
          <w:p>
            <w:pPr>
              <w:jc w:val="center"/>
              <w:rPr>
                <w:rFonts w:ascii="仿宋_GB2312" w:hAnsi="宋体" w:eastAsia="仿宋_GB2312" w:cs="仿宋_GB2312"/>
                <w:b/>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869" w:type="dxa"/>
            <w:noWrap/>
            <w:vAlign w:val="center"/>
          </w:tcPr>
          <w:p>
            <w:pPr>
              <w:widowControl/>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一、上期期末余额</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200,000,000.00</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13,936,463.41</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30,000,000.00</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60,181,641.43</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304,118,104.84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加：会计政策变更</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 xml:space="preserve">    前期差错更正</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 xml:space="preserve">    其他</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869" w:type="dxa"/>
            <w:noWrap/>
            <w:vAlign w:val="center"/>
          </w:tcPr>
          <w:p>
            <w:pPr>
              <w:widowControl/>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二、本期期初余额</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200,000,000.00</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13,936,463.41</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30,000,000.00</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60,181,641.43</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304,118,104.84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三、本期增减变动金额(减少以“-”号填列)</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2,210,919.42</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7,500,000.00</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731,590.14</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10,442,509.56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(一) 综合收益总额</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18,442,509.56</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18,442,509.56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869" w:type="dxa"/>
            <w:noWrap/>
            <w:vAlign w:val="center"/>
          </w:tcPr>
          <w:p>
            <w:pPr>
              <w:widowControl/>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(二) 所有者投入和减少资本</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1. 所有者投入资本</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2．其他权益工具持有至投入资本</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3．股份支付计入所有者权益的金额</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4．其他</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869" w:type="dxa"/>
            <w:noWrap/>
            <w:vAlign w:val="center"/>
          </w:tcPr>
          <w:p>
            <w:pPr>
              <w:widowControl/>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(三) 利润分配</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2,210,919.42</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7,500,000.00</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-17,710,919.42</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-8,000,000.00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1．提取盈余公积</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2,210,919.42</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-2,210,919.42</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2．提取一般风险准备</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7,500,000.00</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-7,500,000.00</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3．对所有者的分配</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-8,000,000.00</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-8,000,000.00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4．其他</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869" w:type="dxa"/>
            <w:noWrap/>
            <w:vAlign w:val="center"/>
          </w:tcPr>
          <w:p>
            <w:pPr>
              <w:widowControl/>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(四) 所有者权益内部结转</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1．资本公积转增资本</w:t>
            </w:r>
          </w:p>
        </w:tc>
        <w:tc>
          <w:tcPr>
            <w:tcW w:w="1771" w:type="dxa"/>
            <w:noWrap/>
            <w:vAlign w:val="bottom"/>
          </w:tcPr>
          <w:p>
            <w:pPr>
              <w:jc w:val="right"/>
              <w:rPr>
                <w:rFonts w:ascii="仿宋_GB2312" w:hAnsi="宋体" w:eastAsia="仿宋_GB2312" w:cs="宋体"/>
                <w:szCs w:val="21"/>
                <w:highlight w:val="none"/>
              </w:rPr>
            </w:pPr>
            <w:r>
              <w:rPr>
                <w:rFonts w:hint="eastAsia" w:ascii="仿宋_GB2312" w:eastAsia="仿宋_GB2312"/>
                <w:szCs w:val="21"/>
                <w:highlight w:val="none"/>
              </w:rPr>
              <w:t>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2．盈余公积转增资本</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3．盈余公积弥补亏损</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4．一般风险准备弥补亏损</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5．其他综合收益结转留存收益</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6．其他</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(五) 其他</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四、本期期末余额</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200,000,000.00</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16,147,382.83</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37,500,000.00</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60,913,231.57</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314,560,614.40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869" w:type="dxa"/>
            <w:vMerge w:val="restart"/>
            <w:noWrap/>
            <w:vAlign w:val="center"/>
          </w:tcPr>
          <w:p>
            <w:pPr>
              <w:widowControl/>
              <w:jc w:val="center"/>
              <w:textAlignment w:val="center"/>
              <w:rPr>
                <w:rFonts w:ascii="仿宋_GB2312" w:hAnsi="宋体" w:eastAsia="仿宋_GB2312" w:cs="仿宋_GB2312"/>
                <w:b/>
                <w:bCs/>
                <w:color w:val="000000"/>
                <w:szCs w:val="21"/>
                <w:highlight w:val="none"/>
              </w:rPr>
            </w:pPr>
            <w:r>
              <w:rPr>
                <w:rFonts w:hint="eastAsia" w:ascii="仿宋_GB2312" w:hAnsi="宋体" w:eastAsia="仿宋_GB2312" w:cs="仿宋_GB2312"/>
                <w:b/>
                <w:bCs/>
                <w:color w:val="000000"/>
                <w:kern w:val="0"/>
                <w:szCs w:val="21"/>
                <w:highlight w:val="none"/>
              </w:rPr>
              <w:t>项  目</w:t>
            </w:r>
          </w:p>
        </w:tc>
        <w:tc>
          <w:tcPr>
            <w:tcW w:w="9170" w:type="dxa"/>
            <w:gridSpan w:val="5"/>
            <w:noWrap/>
            <w:vAlign w:val="center"/>
          </w:tcPr>
          <w:p>
            <w:pPr>
              <w:widowControl/>
              <w:jc w:val="center"/>
              <w:textAlignment w:val="center"/>
              <w:rPr>
                <w:rFonts w:ascii="仿宋_GB2312" w:hAnsi="宋体" w:eastAsia="仿宋_GB2312" w:cs="仿宋_GB2312"/>
                <w:b/>
                <w:bCs/>
                <w:color w:val="000000"/>
                <w:szCs w:val="21"/>
                <w:highlight w:val="none"/>
              </w:rPr>
            </w:pPr>
            <w:r>
              <w:rPr>
                <w:rFonts w:hint="eastAsia" w:ascii="仿宋_GB2312" w:hAnsi="宋体" w:eastAsia="仿宋_GB2312" w:cs="仿宋_GB2312"/>
                <w:b/>
                <w:bCs/>
                <w:color w:val="000000"/>
                <w:kern w:val="0"/>
                <w:szCs w:val="21"/>
                <w:highlight w:val="none"/>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69" w:type="dxa"/>
            <w:vMerge w:val="continue"/>
            <w:noWrap/>
            <w:vAlign w:val="center"/>
          </w:tcPr>
          <w:p>
            <w:pPr>
              <w:jc w:val="center"/>
              <w:rPr>
                <w:rFonts w:ascii="仿宋_GB2312" w:hAnsi="宋体" w:eastAsia="仿宋_GB2312" w:cs="仿宋_GB2312"/>
                <w:b/>
                <w:bCs/>
                <w:color w:val="000000"/>
                <w:szCs w:val="21"/>
                <w:highlight w:val="none"/>
              </w:rPr>
            </w:pPr>
          </w:p>
        </w:tc>
        <w:tc>
          <w:tcPr>
            <w:tcW w:w="1771" w:type="dxa"/>
            <w:vMerge w:val="restart"/>
            <w:noWrap/>
            <w:vAlign w:val="center"/>
          </w:tcPr>
          <w:p>
            <w:pPr>
              <w:widowControl/>
              <w:jc w:val="center"/>
              <w:textAlignment w:val="center"/>
              <w:rPr>
                <w:rFonts w:ascii="仿宋_GB2312" w:hAnsi="宋体" w:eastAsia="仿宋_GB2312" w:cs="仿宋_GB2312"/>
                <w:b/>
                <w:bCs/>
                <w:color w:val="000000"/>
                <w:szCs w:val="21"/>
                <w:highlight w:val="none"/>
              </w:rPr>
            </w:pPr>
            <w:r>
              <w:rPr>
                <w:rFonts w:hint="eastAsia" w:ascii="仿宋_GB2312" w:hAnsi="宋体" w:eastAsia="仿宋_GB2312" w:cs="仿宋_GB2312"/>
                <w:b/>
                <w:bCs/>
                <w:color w:val="000000"/>
                <w:kern w:val="0"/>
                <w:szCs w:val="21"/>
                <w:highlight w:val="none"/>
              </w:rPr>
              <w:t>股本</w:t>
            </w:r>
          </w:p>
        </w:tc>
        <w:tc>
          <w:tcPr>
            <w:tcW w:w="1878" w:type="dxa"/>
            <w:vMerge w:val="restart"/>
            <w:noWrap/>
            <w:vAlign w:val="center"/>
          </w:tcPr>
          <w:p>
            <w:pPr>
              <w:widowControl/>
              <w:jc w:val="center"/>
              <w:textAlignment w:val="center"/>
              <w:rPr>
                <w:rFonts w:ascii="仿宋_GB2312" w:hAnsi="宋体" w:eastAsia="仿宋_GB2312" w:cs="仿宋_GB2312"/>
                <w:b/>
                <w:bCs/>
                <w:color w:val="000000"/>
                <w:szCs w:val="21"/>
                <w:highlight w:val="none"/>
              </w:rPr>
            </w:pPr>
            <w:r>
              <w:rPr>
                <w:rFonts w:hint="eastAsia" w:ascii="仿宋_GB2312" w:hAnsi="宋体" w:eastAsia="仿宋_GB2312" w:cs="仿宋_GB2312"/>
                <w:b/>
                <w:bCs/>
                <w:color w:val="000000"/>
                <w:kern w:val="0"/>
                <w:szCs w:val="21"/>
                <w:highlight w:val="none"/>
              </w:rPr>
              <w:t>盈余公积</w:t>
            </w:r>
          </w:p>
        </w:tc>
        <w:tc>
          <w:tcPr>
            <w:tcW w:w="1762" w:type="dxa"/>
            <w:vMerge w:val="restart"/>
            <w:noWrap/>
            <w:vAlign w:val="center"/>
          </w:tcPr>
          <w:p>
            <w:pPr>
              <w:widowControl/>
              <w:jc w:val="center"/>
              <w:textAlignment w:val="center"/>
              <w:rPr>
                <w:rFonts w:ascii="仿宋_GB2312" w:hAnsi="宋体" w:eastAsia="仿宋_GB2312" w:cs="仿宋_GB2312"/>
                <w:b/>
                <w:bCs/>
                <w:color w:val="000000"/>
                <w:szCs w:val="21"/>
                <w:highlight w:val="none"/>
              </w:rPr>
            </w:pPr>
            <w:r>
              <w:rPr>
                <w:rFonts w:hint="eastAsia" w:ascii="仿宋_GB2312" w:hAnsi="宋体" w:eastAsia="仿宋_GB2312" w:cs="仿宋_GB2312"/>
                <w:b/>
                <w:bCs/>
                <w:color w:val="000000"/>
                <w:kern w:val="0"/>
                <w:szCs w:val="21"/>
                <w:highlight w:val="none"/>
              </w:rPr>
              <w:t>一般风险准备</w:t>
            </w:r>
          </w:p>
        </w:tc>
        <w:tc>
          <w:tcPr>
            <w:tcW w:w="1878" w:type="dxa"/>
            <w:vMerge w:val="restart"/>
            <w:noWrap/>
            <w:vAlign w:val="center"/>
          </w:tcPr>
          <w:p>
            <w:pPr>
              <w:widowControl/>
              <w:jc w:val="center"/>
              <w:textAlignment w:val="center"/>
              <w:rPr>
                <w:rFonts w:ascii="仿宋_GB2312" w:hAnsi="宋体" w:eastAsia="仿宋_GB2312" w:cs="仿宋_GB2312"/>
                <w:b/>
                <w:bCs/>
                <w:color w:val="000000"/>
                <w:szCs w:val="21"/>
                <w:highlight w:val="none"/>
              </w:rPr>
            </w:pPr>
            <w:r>
              <w:rPr>
                <w:rFonts w:hint="eastAsia" w:ascii="仿宋_GB2312" w:hAnsi="宋体" w:eastAsia="仿宋_GB2312" w:cs="仿宋_GB2312"/>
                <w:b/>
                <w:bCs/>
                <w:color w:val="000000"/>
                <w:kern w:val="0"/>
                <w:szCs w:val="21"/>
                <w:highlight w:val="none"/>
              </w:rPr>
              <w:t>未分配利润</w:t>
            </w:r>
          </w:p>
        </w:tc>
        <w:tc>
          <w:tcPr>
            <w:tcW w:w="1881" w:type="dxa"/>
            <w:vMerge w:val="restart"/>
            <w:noWrap/>
            <w:vAlign w:val="center"/>
          </w:tcPr>
          <w:p>
            <w:pPr>
              <w:widowControl/>
              <w:jc w:val="center"/>
              <w:textAlignment w:val="center"/>
              <w:rPr>
                <w:rFonts w:ascii="仿宋_GB2312" w:hAnsi="宋体" w:eastAsia="仿宋_GB2312" w:cs="仿宋_GB2312"/>
                <w:b/>
                <w:bCs/>
                <w:color w:val="000000"/>
                <w:szCs w:val="21"/>
                <w:highlight w:val="none"/>
              </w:rPr>
            </w:pPr>
            <w:r>
              <w:rPr>
                <w:rFonts w:hint="eastAsia" w:ascii="仿宋_GB2312" w:hAnsi="宋体" w:eastAsia="仿宋_GB2312" w:cs="仿宋_GB2312"/>
                <w:b/>
                <w:bCs/>
                <w:color w:val="000000"/>
                <w:kern w:val="0"/>
                <w:szCs w:val="21"/>
                <w:highlight w:val="none"/>
              </w:rPr>
              <w:t>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69" w:type="dxa"/>
            <w:vMerge w:val="continue"/>
            <w:noWrap/>
            <w:vAlign w:val="center"/>
          </w:tcPr>
          <w:p>
            <w:pPr>
              <w:jc w:val="center"/>
              <w:rPr>
                <w:rFonts w:ascii="仿宋_GB2312" w:hAnsi="宋体" w:eastAsia="仿宋_GB2312" w:cs="仿宋_GB2312"/>
                <w:b/>
                <w:bCs/>
                <w:color w:val="000000"/>
                <w:szCs w:val="21"/>
                <w:highlight w:val="none"/>
              </w:rPr>
            </w:pPr>
          </w:p>
        </w:tc>
        <w:tc>
          <w:tcPr>
            <w:tcW w:w="1771" w:type="dxa"/>
            <w:vMerge w:val="continue"/>
            <w:noWrap/>
            <w:vAlign w:val="center"/>
          </w:tcPr>
          <w:p>
            <w:pPr>
              <w:jc w:val="center"/>
              <w:rPr>
                <w:rFonts w:ascii="仿宋_GB2312" w:hAnsi="宋体" w:eastAsia="仿宋_GB2312" w:cs="仿宋_GB2312"/>
                <w:b/>
                <w:bCs/>
                <w:color w:val="000000"/>
                <w:szCs w:val="21"/>
                <w:highlight w:val="none"/>
              </w:rPr>
            </w:pPr>
          </w:p>
        </w:tc>
        <w:tc>
          <w:tcPr>
            <w:tcW w:w="1878" w:type="dxa"/>
            <w:vMerge w:val="continue"/>
            <w:noWrap/>
            <w:vAlign w:val="center"/>
          </w:tcPr>
          <w:p>
            <w:pPr>
              <w:jc w:val="center"/>
              <w:rPr>
                <w:rFonts w:ascii="仿宋_GB2312" w:hAnsi="宋体" w:eastAsia="仿宋_GB2312" w:cs="仿宋_GB2312"/>
                <w:b/>
                <w:bCs/>
                <w:color w:val="000000"/>
                <w:szCs w:val="21"/>
                <w:highlight w:val="none"/>
              </w:rPr>
            </w:pPr>
          </w:p>
        </w:tc>
        <w:tc>
          <w:tcPr>
            <w:tcW w:w="1762" w:type="dxa"/>
            <w:vMerge w:val="continue"/>
            <w:noWrap/>
            <w:vAlign w:val="center"/>
          </w:tcPr>
          <w:p>
            <w:pPr>
              <w:jc w:val="center"/>
              <w:rPr>
                <w:rFonts w:ascii="仿宋_GB2312" w:hAnsi="宋体" w:eastAsia="仿宋_GB2312" w:cs="仿宋_GB2312"/>
                <w:b/>
                <w:bCs/>
                <w:color w:val="000000"/>
                <w:szCs w:val="21"/>
                <w:highlight w:val="none"/>
              </w:rPr>
            </w:pPr>
          </w:p>
        </w:tc>
        <w:tc>
          <w:tcPr>
            <w:tcW w:w="1878" w:type="dxa"/>
            <w:vMerge w:val="continue"/>
            <w:noWrap/>
            <w:vAlign w:val="center"/>
          </w:tcPr>
          <w:p>
            <w:pPr>
              <w:jc w:val="center"/>
              <w:rPr>
                <w:rFonts w:ascii="仿宋_GB2312" w:hAnsi="宋体" w:eastAsia="仿宋_GB2312" w:cs="仿宋_GB2312"/>
                <w:b/>
                <w:bCs/>
                <w:color w:val="000000"/>
                <w:szCs w:val="21"/>
                <w:highlight w:val="none"/>
              </w:rPr>
            </w:pPr>
          </w:p>
        </w:tc>
        <w:tc>
          <w:tcPr>
            <w:tcW w:w="1881" w:type="dxa"/>
            <w:vMerge w:val="continue"/>
            <w:noWrap/>
            <w:vAlign w:val="center"/>
          </w:tcPr>
          <w:p>
            <w:pPr>
              <w:jc w:val="center"/>
              <w:rPr>
                <w:rFonts w:ascii="仿宋_GB2312" w:hAnsi="宋体" w:eastAsia="仿宋_GB2312" w:cs="仿宋_GB2312"/>
                <w:b/>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一、上期期末余额</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200,000,000.00</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11,814,486.26</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24,948,565.72</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58,194,424.40</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294,957,476.38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加：会计政策变更</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 xml:space="preserve">    前期差错更正</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 xml:space="preserve">    其他</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二、本期期初余额</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200,000,000.00</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11,814,486.26</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24,948,565.72</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58,194,424.40</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294,957,476.38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三、本期增减变动金额(减少以“-”号填列)</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2,121,977.15</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5,051,434.28</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1,987,217.03</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9,160,628.46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(一) 综合收益总额</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22,109,194.18</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22,109,194.18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(二) 所有者投入和减少资本</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1. 所有者投入资本</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2．其他权益工具持有至投入资本</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3．股份支付计入所有者权益的金额</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4．其他</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(三) 利润分配</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2,121,977.15</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10,000,000.00</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-20,121,977.15</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-8,000,000.00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1．提取盈余公积</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2,121,977.15</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-2,121,977.15</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2．提取一般风险准备</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10,000,000.00</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-10,000,000.00</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3．对所有者的分配</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-8,000,000.00</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-8,000,000.00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4．其他</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(四) 所有者权益内部结转</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1．资本公积转增资本</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2．盈余公积转增资本</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3．盈余公积弥补亏损</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4．一般风险准备弥补亏损</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5．其他综合收益结转留存收益</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6．其他</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(五) 其他</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-4,948,565.72</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 xml:space="preserve"> -</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-4,948,565.72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869" w:type="dxa"/>
            <w:noWrap/>
            <w:vAlign w:val="center"/>
          </w:tcPr>
          <w:p>
            <w:pPr>
              <w:widowControl/>
              <w:jc w:val="left"/>
              <w:textAlignment w:val="center"/>
              <w:rPr>
                <w:rFonts w:ascii="仿宋_GB2312" w:hAnsi="宋体" w:eastAsia="仿宋_GB2312" w:cs="仿宋_GB2312"/>
                <w:color w:val="000000"/>
                <w:szCs w:val="21"/>
                <w:highlight w:val="none"/>
              </w:rPr>
            </w:pPr>
            <w:r>
              <w:rPr>
                <w:rFonts w:hint="eastAsia" w:ascii="仿宋_GB2312" w:hAnsi="宋体" w:eastAsia="仿宋_GB2312" w:cs="仿宋_GB2312"/>
                <w:color w:val="000000"/>
                <w:kern w:val="0"/>
                <w:szCs w:val="21"/>
                <w:highlight w:val="none"/>
              </w:rPr>
              <w:t>四、本期期末余额</w:t>
            </w:r>
          </w:p>
        </w:tc>
        <w:tc>
          <w:tcPr>
            <w:tcW w:w="177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200,000,000.00</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13,936,463.41</w:t>
            </w:r>
          </w:p>
        </w:tc>
        <w:tc>
          <w:tcPr>
            <w:tcW w:w="1762"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30,000,000.00</w:t>
            </w:r>
          </w:p>
        </w:tc>
        <w:tc>
          <w:tcPr>
            <w:tcW w:w="1878"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60,181,641.43</w:t>
            </w:r>
          </w:p>
        </w:tc>
        <w:tc>
          <w:tcPr>
            <w:tcW w:w="1881" w:type="dxa"/>
            <w:noWrap/>
            <w:vAlign w:val="center"/>
          </w:tcPr>
          <w:p>
            <w:pPr>
              <w:jc w:val="right"/>
              <w:rPr>
                <w:rFonts w:ascii="仿宋_GB2312" w:hAnsi="宋体" w:eastAsia="仿宋_GB2312" w:cs="宋体"/>
                <w:szCs w:val="21"/>
                <w:highlight w:val="none"/>
              </w:rPr>
            </w:pPr>
            <w:r>
              <w:rPr>
                <w:rFonts w:hint="eastAsia" w:ascii="仿宋_GB2312" w:eastAsia="仿宋_GB2312"/>
                <w:szCs w:val="21"/>
                <w:highlight w:val="none"/>
              </w:rPr>
              <w:t>304,118,104.84</w:t>
            </w:r>
          </w:p>
        </w:tc>
      </w:tr>
    </w:tbl>
    <w:p>
      <w:pPr>
        <w:spacing w:line="560" w:lineRule="exact"/>
        <w:ind w:firstLine="643" w:firstLineChars="200"/>
        <w:jc w:val="left"/>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（二）会计报表附注：</w:t>
      </w:r>
      <w:r>
        <w:rPr>
          <w:rFonts w:hint="eastAsia" w:ascii="楷体_GB2312" w:hAnsi="楷体_GB2312" w:eastAsia="楷体_GB2312" w:cs="楷体_GB2312"/>
          <w:sz w:val="32"/>
          <w:szCs w:val="32"/>
          <w:highlight w:val="none"/>
        </w:rPr>
        <w:t>详见附件</w:t>
      </w:r>
    </w:p>
    <w:p>
      <w:pPr>
        <w:spacing w:line="560" w:lineRule="exact"/>
        <w:ind w:firstLine="643" w:firstLineChars="200"/>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（三）财务情况说明书</w:t>
      </w:r>
    </w:p>
    <w:p>
      <w:pPr>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报告期内，本行各项业务发展迅速，经营状况总体良好。</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报告期末，本行资产总额为</w:t>
      </w:r>
      <w:r>
        <w:rPr>
          <w:rFonts w:ascii="仿宋_GB2312" w:hAnsi="仿宋_GB2312" w:eastAsia="仿宋_GB2312" w:cs="仿宋_GB2312"/>
          <w:sz w:val="32"/>
          <w:szCs w:val="32"/>
          <w:highlight w:val="none"/>
        </w:rPr>
        <w:t>202127</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0</w:t>
      </w:r>
      <w:r>
        <w:rPr>
          <w:rFonts w:hint="eastAsia" w:ascii="仿宋_GB2312" w:hAnsi="仿宋_GB2312" w:eastAsia="仿宋_GB2312" w:cs="仿宋_GB2312"/>
          <w:sz w:val="32"/>
          <w:szCs w:val="32"/>
          <w:highlight w:val="none"/>
        </w:rPr>
        <w:t>3万元，其中各项贷款余额</w:t>
      </w:r>
      <w:r>
        <w:rPr>
          <w:rFonts w:ascii="仿宋_GB2312" w:hAnsi="仿宋_GB2312" w:eastAsia="仿宋_GB2312" w:cs="仿宋_GB2312"/>
          <w:sz w:val="32"/>
          <w:szCs w:val="32"/>
          <w:highlight w:val="none"/>
        </w:rPr>
        <w:t>164139</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rPr>
        <w:t>4万元，负债总额为</w:t>
      </w:r>
      <w:r>
        <w:rPr>
          <w:rFonts w:ascii="仿宋_GB2312" w:hAnsi="仿宋_GB2312" w:eastAsia="仿宋_GB2312" w:cs="仿宋_GB2312"/>
          <w:sz w:val="32"/>
          <w:szCs w:val="32"/>
          <w:highlight w:val="none"/>
        </w:rPr>
        <w:t>170670</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9</w:t>
      </w:r>
      <w:r>
        <w:rPr>
          <w:rFonts w:hint="eastAsia" w:ascii="仿宋_GB2312" w:hAnsi="仿宋_GB2312" w:eastAsia="仿宋_GB2312" w:cs="仿宋_GB2312"/>
          <w:sz w:val="32"/>
          <w:szCs w:val="32"/>
          <w:highlight w:val="none"/>
        </w:rPr>
        <w:t>7万元，其中各项存款余额为</w:t>
      </w:r>
      <w:r>
        <w:rPr>
          <w:rFonts w:ascii="仿宋_GB2312" w:hAnsi="仿宋_GB2312" w:eastAsia="仿宋_GB2312" w:cs="仿宋_GB2312"/>
          <w:sz w:val="32"/>
          <w:szCs w:val="32"/>
          <w:highlight w:val="none"/>
        </w:rPr>
        <w:t>166206</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58</w:t>
      </w:r>
      <w:r>
        <w:rPr>
          <w:rFonts w:hint="eastAsia" w:ascii="仿宋_GB2312" w:hAnsi="仿宋_GB2312" w:eastAsia="仿宋_GB2312" w:cs="仿宋_GB2312"/>
          <w:sz w:val="32"/>
          <w:szCs w:val="32"/>
          <w:highlight w:val="none"/>
        </w:rPr>
        <w:t>万元；所有者权益为</w:t>
      </w:r>
      <w:r>
        <w:rPr>
          <w:rFonts w:ascii="仿宋_GB2312" w:hAnsi="仿宋_GB2312" w:eastAsia="仿宋_GB2312" w:cs="仿宋_GB2312"/>
          <w:sz w:val="32"/>
          <w:szCs w:val="32"/>
          <w:highlight w:val="none"/>
        </w:rPr>
        <w:t>31456</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06</w:t>
      </w:r>
      <w:r>
        <w:rPr>
          <w:rFonts w:hint="eastAsia" w:ascii="仿宋_GB2312" w:hAnsi="仿宋_GB2312" w:eastAsia="仿宋_GB2312" w:cs="仿宋_GB2312"/>
          <w:sz w:val="32"/>
          <w:szCs w:val="32"/>
          <w:highlight w:val="none"/>
        </w:rPr>
        <w:t>万元，其中实收资本20000万元，未分配利润余额为</w:t>
      </w:r>
      <w:r>
        <w:rPr>
          <w:rFonts w:ascii="仿宋_GB2312" w:hAnsi="仿宋_GB2312" w:eastAsia="仿宋_GB2312" w:cs="仿宋_GB2312"/>
          <w:sz w:val="32"/>
          <w:szCs w:val="32"/>
          <w:highlight w:val="none"/>
        </w:rPr>
        <w:t>6091</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32</w:t>
      </w:r>
      <w:r>
        <w:rPr>
          <w:rFonts w:hint="eastAsia" w:ascii="仿宋_GB2312" w:hAnsi="仿宋_GB2312" w:eastAsia="仿宋_GB2312" w:cs="仿宋_GB2312"/>
          <w:sz w:val="32"/>
          <w:szCs w:val="32"/>
          <w:highlight w:val="none"/>
        </w:rPr>
        <w:t>万元，盈余公积</w:t>
      </w:r>
      <w:r>
        <w:rPr>
          <w:rFonts w:ascii="仿宋_GB2312" w:hAnsi="仿宋_GB2312" w:eastAsia="仿宋_GB2312" w:cs="仿宋_GB2312"/>
          <w:sz w:val="32"/>
          <w:szCs w:val="32"/>
          <w:highlight w:val="none"/>
        </w:rPr>
        <w:t>1614</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7</w:t>
      </w:r>
      <w:r>
        <w:rPr>
          <w:rFonts w:hint="eastAsia" w:ascii="仿宋_GB2312" w:hAnsi="仿宋_GB2312" w:eastAsia="仿宋_GB2312" w:cs="仿宋_GB2312"/>
          <w:sz w:val="32"/>
          <w:szCs w:val="32"/>
          <w:highlight w:val="none"/>
        </w:rPr>
        <w:t>4万元，一般风险准备</w:t>
      </w:r>
      <w:r>
        <w:rPr>
          <w:rFonts w:ascii="仿宋_GB2312" w:hAnsi="仿宋_GB2312" w:eastAsia="仿宋_GB2312" w:cs="仿宋_GB2312"/>
          <w:sz w:val="32"/>
          <w:szCs w:val="32"/>
          <w:highlight w:val="none"/>
        </w:rPr>
        <w:t>3750</w:t>
      </w:r>
      <w:r>
        <w:rPr>
          <w:rFonts w:hint="eastAsia" w:ascii="仿宋_GB2312" w:hAnsi="仿宋_GB2312" w:eastAsia="仿宋_GB2312" w:cs="仿宋_GB2312"/>
          <w:sz w:val="32"/>
          <w:szCs w:val="32"/>
          <w:highlight w:val="none"/>
        </w:rPr>
        <w:t>万元。</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报告期内，本行实现全年各项营业收入</w:t>
      </w:r>
      <w:r>
        <w:rPr>
          <w:rFonts w:ascii="仿宋_GB2312" w:hAnsi="仿宋_GB2312" w:eastAsia="仿宋_GB2312" w:cs="仿宋_GB2312"/>
          <w:sz w:val="32"/>
          <w:szCs w:val="32"/>
          <w:highlight w:val="none"/>
        </w:rPr>
        <w:t>12255</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76</w:t>
      </w:r>
      <w:r>
        <w:rPr>
          <w:rFonts w:hint="eastAsia" w:ascii="仿宋_GB2312" w:hAnsi="仿宋_GB2312" w:eastAsia="仿宋_GB2312" w:cs="仿宋_GB2312"/>
          <w:sz w:val="32"/>
          <w:szCs w:val="32"/>
          <w:highlight w:val="none"/>
        </w:rPr>
        <w:t>万元，各项营业支出</w:t>
      </w:r>
      <w:r>
        <w:rPr>
          <w:rFonts w:ascii="仿宋_GB2312" w:hAnsi="仿宋_GB2312" w:eastAsia="仿宋_GB2312" w:cs="仿宋_GB2312"/>
          <w:sz w:val="32"/>
          <w:szCs w:val="32"/>
          <w:highlight w:val="none"/>
        </w:rPr>
        <w:t>9750</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16</w:t>
      </w:r>
      <w:r>
        <w:rPr>
          <w:rFonts w:hint="eastAsia" w:ascii="仿宋_GB2312" w:hAnsi="仿宋_GB2312" w:eastAsia="仿宋_GB2312" w:cs="仿宋_GB2312"/>
          <w:sz w:val="32"/>
          <w:szCs w:val="32"/>
          <w:highlight w:val="none"/>
        </w:rPr>
        <w:t>万元，实现税后净利润</w:t>
      </w:r>
      <w:r>
        <w:rPr>
          <w:rFonts w:ascii="仿宋_GB2312" w:hAnsi="仿宋_GB2312" w:eastAsia="仿宋_GB2312" w:cs="仿宋_GB2312"/>
          <w:sz w:val="32"/>
          <w:szCs w:val="32"/>
          <w:highlight w:val="none"/>
        </w:rPr>
        <w:t>1844</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25</w:t>
      </w:r>
      <w:r>
        <w:rPr>
          <w:rFonts w:hint="eastAsia" w:ascii="仿宋_GB2312" w:hAnsi="仿宋_GB2312" w:eastAsia="仿宋_GB2312" w:cs="仿宋_GB2312"/>
          <w:sz w:val="32"/>
          <w:szCs w:val="32"/>
          <w:highlight w:val="none"/>
        </w:rPr>
        <w:t>万元。</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报告期内，本行无对财务状况、经营成果有重大影响的其他事项说明。</w:t>
      </w:r>
    </w:p>
    <w:p>
      <w:pPr>
        <w:spacing w:line="560" w:lineRule="exact"/>
        <w:ind w:firstLine="643" w:firstLineChars="200"/>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（四）股东及关联交易情况</w:t>
      </w:r>
    </w:p>
    <w:p>
      <w:pPr>
        <w:tabs>
          <w:tab w:val="left" w:pos="312"/>
        </w:tabs>
        <w:spacing w:line="560" w:lineRule="exact"/>
        <w:ind w:firstLine="643" w:firstLineChars="200"/>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1、本行股东持股情况</w:t>
      </w:r>
    </w:p>
    <w:p>
      <w:pPr>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编制单位：浙江柯桥联合村镇银行股份有限公司</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编制月份：2022年12月          金额单位：人民币万元</w:t>
      </w:r>
    </w:p>
    <w:tbl>
      <w:tblPr>
        <w:tblStyle w:val="11"/>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4238"/>
        <w:gridCol w:w="1780"/>
        <w:gridCol w:w="1588"/>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89" w:hRule="atLeast"/>
          <w:jc w:val="center"/>
        </w:trPr>
        <w:tc>
          <w:tcPr>
            <w:tcW w:w="423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pPr>
              <w:widowControl/>
              <w:spacing w:line="400" w:lineRule="exact"/>
              <w:jc w:val="center"/>
              <w:rPr>
                <w:rFonts w:ascii="仿宋_GB2312" w:hAnsi="仿宋_GB2312" w:eastAsia="仿宋_GB2312" w:cs="仿宋_GB2312"/>
                <w:b/>
                <w:bCs/>
                <w:kern w:val="0"/>
                <w:sz w:val="24"/>
                <w:szCs w:val="24"/>
                <w:highlight w:val="none"/>
              </w:rPr>
            </w:pPr>
            <w:r>
              <w:rPr>
                <w:rFonts w:hint="eastAsia" w:ascii="仿宋_GB2312" w:hAnsi="仿宋_GB2312" w:eastAsia="仿宋_GB2312" w:cs="仿宋_GB2312"/>
                <w:b/>
                <w:bCs/>
                <w:kern w:val="0"/>
                <w:sz w:val="24"/>
                <w:szCs w:val="24"/>
                <w:highlight w:val="none"/>
              </w:rPr>
              <w:t>股东名称</w:t>
            </w:r>
          </w:p>
        </w:tc>
        <w:tc>
          <w:tcPr>
            <w:tcW w:w="1780"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b/>
                <w:bCs/>
                <w:kern w:val="0"/>
                <w:sz w:val="24"/>
                <w:szCs w:val="24"/>
                <w:highlight w:val="none"/>
              </w:rPr>
            </w:pPr>
            <w:r>
              <w:rPr>
                <w:rFonts w:hint="eastAsia" w:ascii="仿宋_GB2312" w:hAnsi="仿宋_GB2312" w:eastAsia="仿宋_GB2312" w:cs="仿宋_GB2312"/>
                <w:b/>
                <w:bCs/>
                <w:kern w:val="0"/>
                <w:sz w:val="24"/>
                <w:szCs w:val="24"/>
                <w:highlight w:val="none"/>
              </w:rPr>
              <w:t>期末数</w:t>
            </w:r>
          </w:p>
        </w:tc>
        <w:tc>
          <w:tcPr>
            <w:tcW w:w="1588"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b/>
                <w:bCs/>
                <w:kern w:val="0"/>
                <w:sz w:val="24"/>
                <w:szCs w:val="24"/>
                <w:highlight w:val="none"/>
              </w:rPr>
            </w:pPr>
            <w:r>
              <w:rPr>
                <w:rFonts w:hint="eastAsia" w:ascii="仿宋_GB2312" w:hAnsi="仿宋_GB2312" w:eastAsia="仿宋_GB2312" w:cs="仿宋_GB2312"/>
                <w:b/>
                <w:bCs/>
                <w:kern w:val="0"/>
                <w:sz w:val="24"/>
                <w:szCs w:val="24"/>
                <w:highlight w:val="none"/>
              </w:rPr>
              <w:t>期初数</w:t>
            </w:r>
          </w:p>
        </w:tc>
        <w:tc>
          <w:tcPr>
            <w:tcW w:w="1735"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b/>
                <w:bCs/>
                <w:kern w:val="0"/>
                <w:sz w:val="24"/>
                <w:szCs w:val="24"/>
                <w:highlight w:val="none"/>
              </w:rPr>
            </w:pPr>
            <w:r>
              <w:rPr>
                <w:rFonts w:hint="eastAsia" w:ascii="仿宋_GB2312" w:hAnsi="仿宋_GB2312" w:eastAsia="仿宋_GB2312" w:cs="仿宋_GB2312"/>
                <w:b/>
                <w:bCs/>
                <w:kern w:val="0"/>
                <w:sz w:val="24"/>
                <w:szCs w:val="24"/>
                <w:highlight w:val="none"/>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6" w:hRule="atLeast"/>
          <w:jc w:val="center"/>
        </w:trPr>
        <w:tc>
          <w:tcPr>
            <w:tcW w:w="423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杭州联合农村商业银行股份有限公司</w:t>
            </w:r>
          </w:p>
        </w:tc>
        <w:tc>
          <w:tcPr>
            <w:tcW w:w="1780"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8000.00</w:t>
            </w:r>
          </w:p>
        </w:tc>
        <w:tc>
          <w:tcPr>
            <w:tcW w:w="1588"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8000.00</w:t>
            </w:r>
          </w:p>
        </w:tc>
        <w:tc>
          <w:tcPr>
            <w:tcW w:w="1735"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6" w:hRule="atLeast"/>
          <w:jc w:val="center"/>
        </w:trPr>
        <w:tc>
          <w:tcPr>
            <w:tcW w:w="423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浙江健然物资有限公司</w:t>
            </w:r>
          </w:p>
        </w:tc>
        <w:tc>
          <w:tcPr>
            <w:tcW w:w="1780"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2000.00</w:t>
            </w:r>
          </w:p>
        </w:tc>
        <w:tc>
          <w:tcPr>
            <w:tcW w:w="1588"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2000.00</w:t>
            </w:r>
          </w:p>
        </w:tc>
        <w:tc>
          <w:tcPr>
            <w:tcW w:w="1735"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6" w:hRule="atLeast"/>
          <w:jc w:val="center"/>
        </w:trPr>
        <w:tc>
          <w:tcPr>
            <w:tcW w:w="423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pPr>
              <w:widowControl/>
              <w:spacing w:line="400" w:lineRule="exact"/>
              <w:jc w:val="center"/>
              <w:textAlignment w:val="bottom"/>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绍兴柯桥同策纺织有限公司</w:t>
            </w:r>
          </w:p>
        </w:tc>
        <w:tc>
          <w:tcPr>
            <w:tcW w:w="1780"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2000.00</w:t>
            </w:r>
          </w:p>
        </w:tc>
        <w:tc>
          <w:tcPr>
            <w:tcW w:w="1588"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2000.00</w:t>
            </w:r>
          </w:p>
        </w:tc>
        <w:tc>
          <w:tcPr>
            <w:tcW w:w="1735"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63" w:hRule="atLeast"/>
          <w:jc w:val="center"/>
        </w:trPr>
        <w:tc>
          <w:tcPr>
            <w:tcW w:w="423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上海物华金属材料有限公司</w:t>
            </w:r>
          </w:p>
        </w:tc>
        <w:tc>
          <w:tcPr>
            <w:tcW w:w="1780"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2000.00</w:t>
            </w:r>
          </w:p>
        </w:tc>
        <w:tc>
          <w:tcPr>
            <w:tcW w:w="1588"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2000.00</w:t>
            </w:r>
          </w:p>
        </w:tc>
        <w:tc>
          <w:tcPr>
            <w:tcW w:w="1735"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63" w:hRule="atLeast"/>
          <w:jc w:val="center"/>
        </w:trPr>
        <w:tc>
          <w:tcPr>
            <w:tcW w:w="423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浙江润</w:t>
            </w:r>
            <w:r>
              <w:rPr>
                <w:rFonts w:hint="eastAsia" w:cs="仿宋_GB2312" w:asciiTheme="minorEastAsia" w:hAnsiTheme="minorEastAsia"/>
                <w:kern w:val="0"/>
                <w:sz w:val="24"/>
                <w:szCs w:val="24"/>
                <w:highlight w:val="none"/>
              </w:rPr>
              <w:t>昇</w:t>
            </w:r>
            <w:r>
              <w:rPr>
                <w:rFonts w:hint="eastAsia" w:ascii="仿宋_GB2312" w:hAnsi="仿宋_GB2312" w:eastAsia="仿宋_GB2312" w:cs="仿宋_GB2312"/>
                <w:kern w:val="0"/>
                <w:sz w:val="24"/>
                <w:szCs w:val="24"/>
                <w:highlight w:val="none"/>
              </w:rPr>
              <w:t>新能源有限公司</w:t>
            </w:r>
          </w:p>
        </w:tc>
        <w:tc>
          <w:tcPr>
            <w:tcW w:w="1780"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1800.00</w:t>
            </w:r>
          </w:p>
        </w:tc>
        <w:tc>
          <w:tcPr>
            <w:tcW w:w="1588"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1200.00</w:t>
            </w:r>
          </w:p>
        </w:tc>
        <w:tc>
          <w:tcPr>
            <w:tcW w:w="1735"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63" w:hRule="atLeast"/>
          <w:jc w:val="center"/>
        </w:trPr>
        <w:tc>
          <w:tcPr>
            <w:tcW w:w="423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rPr>
              <w:t>绍兴昱耀纺织科技有限公司</w:t>
            </w:r>
          </w:p>
        </w:tc>
        <w:tc>
          <w:tcPr>
            <w:tcW w:w="1780"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1400.00</w:t>
            </w:r>
          </w:p>
        </w:tc>
        <w:tc>
          <w:tcPr>
            <w:tcW w:w="1588"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1400.00</w:t>
            </w:r>
          </w:p>
        </w:tc>
        <w:tc>
          <w:tcPr>
            <w:tcW w:w="1735"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6" w:hRule="atLeast"/>
          <w:jc w:val="center"/>
        </w:trPr>
        <w:tc>
          <w:tcPr>
            <w:tcW w:w="423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杭州善翔金属材料有限公司</w:t>
            </w:r>
          </w:p>
        </w:tc>
        <w:tc>
          <w:tcPr>
            <w:tcW w:w="1780"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900.00</w:t>
            </w:r>
          </w:p>
        </w:tc>
        <w:tc>
          <w:tcPr>
            <w:tcW w:w="1588"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900.00</w:t>
            </w:r>
          </w:p>
        </w:tc>
        <w:tc>
          <w:tcPr>
            <w:tcW w:w="1735"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63" w:hRule="atLeast"/>
          <w:jc w:val="center"/>
        </w:trPr>
        <w:tc>
          <w:tcPr>
            <w:tcW w:w="423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浙江古纤道股份有限公司</w:t>
            </w:r>
          </w:p>
        </w:tc>
        <w:tc>
          <w:tcPr>
            <w:tcW w:w="1780"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800.00</w:t>
            </w:r>
          </w:p>
        </w:tc>
        <w:tc>
          <w:tcPr>
            <w:tcW w:w="1588"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800.00</w:t>
            </w:r>
          </w:p>
        </w:tc>
        <w:tc>
          <w:tcPr>
            <w:tcW w:w="1735"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63" w:hRule="atLeast"/>
          <w:jc w:val="center"/>
        </w:trPr>
        <w:tc>
          <w:tcPr>
            <w:tcW w:w="423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上海新炬高新技术服务有限公司</w:t>
            </w:r>
          </w:p>
        </w:tc>
        <w:tc>
          <w:tcPr>
            <w:tcW w:w="1780"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600.00</w:t>
            </w:r>
          </w:p>
        </w:tc>
        <w:tc>
          <w:tcPr>
            <w:tcW w:w="1588"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600.00</w:t>
            </w:r>
          </w:p>
        </w:tc>
        <w:tc>
          <w:tcPr>
            <w:tcW w:w="1735"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63" w:hRule="atLeast"/>
          <w:jc w:val="center"/>
        </w:trPr>
        <w:tc>
          <w:tcPr>
            <w:tcW w:w="423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绍兴市南洋染织有限公司</w:t>
            </w:r>
          </w:p>
        </w:tc>
        <w:tc>
          <w:tcPr>
            <w:tcW w:w="1780"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250.00</w:t>
            </w:r>
          </w:p>
        </w:tc>
        <w:tc>
          <w:tcPr>
            <w:tcW w:w="1588"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500.00</w:t>
            </w:r>
          </w:p>
        </w:tc>
        <w:tc>
          <w:tcPr>
            <w:tcW w:w="1735"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63" w:hRule="atLeast"/>
          <w:jc w:val="center"/>
        </w:trPr>
        <w:tc>
          <w:tcPr>
            <w:tcW w:w="423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新发纺织印染（绍兴）有限公司</w:t>
            </w:r>
          </w:p>
        </w:tc>
        <w:tc>
          <w:tcPr>
            <w:tcW w:w="1780"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250.00</w:t>
            </w:r>
          </w:p>
        </w:tc>
        <w:tc>
          <w:tcPr>
            <w:tcW w:w="1588"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0.00</w:t>
            </w:r>
          </w:p>
        </w:tc>
        <w:tc>
          <w:tcPr>
            <w:tcW w:w="1735"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63" w:hRule="atLeast"/>
          <w:jc w:val="center"/>
        </w:trPr>
        <w:tc>
          <w:tcPr>
            <w:tcW w:w="423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合  计</w:t>
            </w:r>
          </w:p>
        </w:tc>
        <w:tc>
          <w:tcPr>
            <w:tcW w:w="1780"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20000.00</w:t>
            </w:r>
          </w:p>
        </w:tc>
        <w:tc>
          <w:tcPr>
            <w:tcW w:w="1588"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20000.00</w:t>
            </w:r>
          </w:p>
        </w:tc>
        <w:tc>
          <w:tcPr>
            <w:tcW w:w="1735"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100.00</w:t>
            </w:r>
          </w:p>
        </w:tc>
      </w:tr>
    </w:tbl>
    <w:p>
      <w:pPr>
        <w:spacing w:line="560" w:lineRule="exact"/>
        <w:ind w:firstLine="643" w:firstLineChars="200"/>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2、关联方交易</w:t>
      </w:r>
    </w:p>
    <w:p>
      <w:pPr>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根据《浙江柯桥联合村镇银行股份有限公司2022年度审计报告》（附件1），本行2022年度关联方交易情况如下：</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（1）截止2022年12月31日，关联方授信业务余额（单位：万元）：</w:t>
      </w:r>
    </w:p>
    <w:tbl>
      <w:tblPr>
        <w:tblStyle w:val="11"/>
        <w:tblW w:w="50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21"/>
        <w:gridCol w:w="2072"/>
        <w:gridCol w:w="1640"/>
        <w:gridCol w:w="200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956" w:type="pct"/>
            <w:tcBorders>
              <w:tl2br w:val="nil"/>
              <w:tr2bl w:val="nil"/>
            </w:tcBorders>
            <w:noWrap/>
            <w:vAlign w:val="center"/>
          </w:tcPr>
          <w:p>
            <w:pPr>
              <w:spacing w:line="400" w:lineRule="exact"/>
              <w:jc w:val="center"/>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关联方名称</w:t>
            </w:r>
          </w:p>
        </w:tc>
        <w:tc>
          <w:tcPr>
            <w:tcW w:w="1151" w:type="pct"/>
            <w:tcBorders>
              <w:tl2br w:val="nil"/>
              <w:tr2bl w:val="nil"/>
            </w:tcBorders>
            <w:noWrap/>
            <w:vAlign w:val="center"/>
          </w:tcPr>
          <w:p>
            <w:pPr>
              <w:spacing w:line="400" w:lineRule="exact"/>
              <w:jc w:val="center"/>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与本行关系</w:t>
            </w:r>
          </w:p>
        </w:tc>
        <w:tc>
          <w:tcPr>
            <w:tcW w:w="911" w:type="pct"/>
            <w:tcBorders>
              <w:tl2br w:val="nil"/>
              <w:tr2bl w:val="nil"/>
            </w:tcBorders>
            <w:noWrap/>
            <w:vAlign w:val="center"/>
          </w:tcPr>
          <w:p>
            <w:pPr>
              <w:spacing w:line="400" w:lineRule="exact"/>
              <w:jc w:val="center"/>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期末余额</w:t>
            </w:r>
          </w:p>
        </w:tc>
        <w:tc>
          <w:tcPr>
            <w:tcW w:w="1114" w:type="pct"/>
            <w:tcBorders>
              <w:tl2br w:val="nil"/>
              <w:tr2bl w:val="nil"/>
            </w:tcBorders>
            <w:noWrap/>
            <w:vAlign w:val="center"/>
          </w:tcPr>
          <w:p>
            <w:pPr>
              <w:spacing w:line="400" w:lineRule="exact"/>
              <w:jc w:val="center"/>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贷款形式</w:t>
            </w:r>
          </w:p>
        </w:tc>
        <w:tc>
          <w:tcPr>
            <w:tcW w:w="865" w:type="pct"/>
            <w:tcBorders>
              <w:tl2br w:val="nil"/>
              <w:tr2bl w:val="nil"/>
            </w:tcBorders>
            <w:noWrap/>
            <w:vAlign w:val="center"/>
          </w:tcPr>
          <w:p>
            <w:pPr>
              <w:spacing w:line="400" w:lineRule="exact"/>
              <w:jc w:val="center"/>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风险状况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6" w:type="pct"/>
            <w:tcBorders>
              <w:tl2br w:val="nil"/>
              <w:tr2bl w:val="nil"/>
            </w:tcBorders>
            <w:noWrap/>
            <w:vAlign w:val="center"/>
          </w:tcPr>
          <w:p>
            <w:pPr>
              <w:spacing w:line="40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缪国军</w:t>
            </w:r>
          </w:p>
        </w:tc>
        <w:tc>
          <w:tcPr>
            <w:tcW w:w="1151" w:type="pct"/>
            <w:tcBorders>
              <w:tl2br w:val="nil"/>
              <w:tr2bl w:val="nil"/>
            </w:tcBorders>
            <w:noWrap/>
            <w:vAlign w:val="center"/>
          </w:tcPr>
          <w:p>
            <w:pPr>
              <w:spacing w:line="400" w:lineRule="exact"/>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内部人</w:t>
            </w:r>
          </w:p>
        </w:tc>
        <w:tc>
          <w:tcPr>
            <w:tcW w:w="911" w:type="pct"/>
            <w:tcBorders>
              <w:tl2br w:val="nil"/>
              <w:tr2bl w:val="nil"/>
            </w:tcBorders>
            <w:noWrap/>
            <w:vAlign w:val="center"/>
          </w:tcPr>
          <w:p>
            <w:pPr>
              <w:widowControl/>
              <w:spacing w:line="400" w:lineRule="exact"/>
              <w:ind w:right="105" w:rightChars="50"/>
              <w:jc w:val="center"/>
              <w:textAlignment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40</w:t>
            </w:r>
          </w:p>
        </w:tc>
        <w:tc>
          <w:tcPr>
            <w:tcW w:w="1114" w:type="pct"/>
            <w:tcBorders>
              <w:tl2br w:val="nil"/>
              <w:tr2bl w:val="nil"/>
            </w:tcBorders>
            <w:noWrap/>
            <w:vAlign w:val="center"/>
          </w:tcPr>
          <w:p>
            <w:pPr>
              <w:widowControl/>
              <w:spacing w:line="400" w:lineRule="exact"/>
              <w:ind w:right="105" w:rightChars="50"/>
              <w:jc w:val="center"/>
              <w:textAlignment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保证</w:t>
            </w:r>
          </w:p>
        </w:tc>
        <w:tc>
          <w:tcPr>
            <w:tcW w:w="865" w:type="pct"/>
            <w:tcBorders>
              <w:tl2br w:val="nil"/>
              <w:tr2bl w:val="nil"/>
            </w:tcBorders>
            <w:noWrap/>
            <w:vAlign w:val="center"/>
          </w:tcPr>
          <w:p>
            <w:pPr>
              <w:widowControl/>
              <w:spacing w:line="400" w:lineRule="exact"/>
              <w:ind w:right="105" w:rightChars="50"/>
              <w:jc w:val="center"/>
              <w:textAlignment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56" w:type="pct"/>
            <w:tcBorders>
              <w:tl2br w:val="nil"/>
              <w:tr2bl w:val="nil"/>
            </w:tcBorders>
            <w:noWrap/>
            <w:vAlign w:val="center"/>
          </w:tcPr>
          <w:p>
            <w:pPr>
              <w:spacing w:line="400" w:lineRule="exact"/>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合  计</w:t>
            </w:r>
          </w:p>
        </w:tc>
        <w:tc>
          <w:tcPr>
            <w:tcW w:w="1151" w:type="pct"/>
            <w:tcBorders>
              <w:tl2br w:val="nil"/>
              <w:tr2bl w:val="nil"/>
            </w:tcBorders>
            <w:noWrap/>
            <w:vAlign w:val="center"/>
          </w:tcPr>
          <w:p>
            <w:pPr>
              <w:spacing w:line="400" w:lineRule="exact"/>
              <w:jc w:val="center"/>
              <w:rPr>
                <w:rFonts w:ascii="仿宋_GB2312" w:hAnsi="仿宋_GB2312" w:eastAsia="仿宋_GB2312" w:cs="仿宋_GB2312"/>
                <w:color w:val="000000"/>
                <w:sz w:val="24"/>
                <w:szCs w:val="24"/>
                <w:highlight w:val="none"/>
              </w:rPr>
            </w:pPr>
          </w:p>
        </w:tc>
        <w:tc>
          <w:tcPr>
            <w:tcW w:w="911" w:type="pct"/>
            <w:tcBorders>
              <w:tl2br w:val="nil"/>
              <w:tr2bl w:val="nil"/>
            </w:tcBorders>
            <w:noWrap/>
            <w:vAlign w:val="center"/>
          </w:tcPr>
          <w:p>
            <w:pPr>
              <w:widowControl/>
              <w:spacing w:line="400" w:lineRule="exact"/>
              <w:ind w:right="105" w:rightChars="50"/>
              <w:jc w:val="center"/>
              <w:textAlignment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fldChar w:fldCharType="begin"/>
            </w:r>
            <w:r>
              <w:rPr>
                <w:rFonts w:hint="eastAsia" w:ascii="仿宋_GB2312" w:hAnsi="仿宋_GB2312" w:eastAsia="仿宋_GB2312" w:cs="仿宋_GB2312"/>
                <w:color w:val="000000"/>
                <w:kern w:val="0"/>
                <w:sz w:val="24"/>
                <w:szCs w:val="24"/>
                <w:highlight w:val="none"/>
              </w:rPr>
              <w:instrText xml:space="preserve"> =SUM(ABOVE) \# "#,##0.00"</w:instrText>
            </w:r>
            <w:r>
              <w:rPr>
                <w:rFonts w:hint="eastAsia" w:ascii="仿宋_GB2312" w:hAnsi="仿宋_GB2312" w:eastAsia="仿宋_GB2312" w:cs="仿宋_GB2312"/>
                <w:color w:val="000000"/>
                <w:kern w:val="0"/>
                <w:sz w:val="24"/>
                <w:szCs w:val="24"/>
                <w:highlight w:val="none"/>
              </w:rPr>
              <w:fldChar w:fldCharType="separate"/>
            </w:r>
            <w:r>
              <w:rPr>
                <w:rFonts w:hint="eastAsia" w:ascii="仿宋_GB2312" w:hAnsi="仿宋_GB2312" w:eastAsia="仿宋_GB2312" w:cs="仿宋_GB2312"/>
                <w:color w:val="000000"/>
                <w:kern w:val="0"/>
                <w:sz w:val="24"/>
                <w:szCs w:val="24"/>
                <w:highlight w:val="none"/>
              </w:rPr>
              <w:t>40</w:t>
            </w:r>
            <w:r>
              <w:rPr>
                <w:rFonts w:hint="eastAsia" w:ascii="仿宋_GB2312" w:hAnsi="仿宋_GB2312" w:eastAsia="仿宋_GB2312" w:cs="仿宋_GB2312"/>
                <w:color w:val="000000"/>
                <w:kern w:val="0"/>
                <w:sz w:val="24"/>
                <w:szCs w:val="24"/>
                <w:highlight w:val="none"/>
              </w:rPr>
              <w:fldChar w:fldCharType="end"/>
            </w:r>
          </w:p>
        </w:tc>
        <w:tc>
          <w:tcPr>
            <w:tcW w:w="1114" w:type="pct"/>
            <w:tcBorders>
              <w:tl2br w:val="nil"/>
              <w:tr2bl w:val="nil"/>
            </w:tcBorders>
            <w:noWrap/>
            <w:vAlign w:val="center"/>
          </w:tcPr>
          <w:p>
            <w:pPr>
              <w:spacing w:line="400" w:lineRule="exact"/>
              <w:jc w:val="center"/>
              <w:rPr>
                <w:rFonts w:ascii="仿宋_GB2312" w:hAnsi="仿宋_GB2312" w:eastAsia="仿宋_GB2312" w:cs="仿宋_GB2312"/>
                <w:color w:val="000000"/>
                <w:sz w:val="24"/>
                <w:szCs w:val="24"/>
                <w:highlight w:val="none"/>
              </w:rPr>
            </w:pPr>
          </w:p>
        </w:tc>
        <w:tc>
          <w:tcPr>
            <w:tcW w:w="865" w:type="pct"/>
            <w:tcBorders>
              <w:tl2br w:val="nil"/>
              <w:tr2bl w:val="nil"/>
            </w:tcBorders>
            <w:noWrap/>
            <w:vAlign w:val="center"/>
          </w:tcPr>
          <w:p>
            <w:pPr>
              <w:spacing w:line="400" w:lineRule="exact"/>
              <w:jc w:val="center"/>
              <w:rPr>
                <w:rFonts w:ascii="仿宋_GB2312" w:hAnsi="仿宋_GB2312" w:eastAsia="仿宋_GB2312" w:cs="仿宋_GB2312"/>
                <w:color w:val="000000"/>
                <w:sz w:val="24"/>
                <w:szCs w:val="24"/>
                <w:highlight w:val="none"/>
              </w:rPr>
            </w:pPr>
          </w:p>
        </w:tc>
      </w:tr>
    </w:tbl>
    <w:p>
      <w:pPr>
        <w:tabs>
          <w:tab w:val="right" w:pos="7740"/>
        </w:tabs>
        <w:spacing w:line="560" w:lineRule="exact"/>
        <w:ind w:firstLine="600" w:firstLine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（2）截止2022年12月31日，关联方其他业务往来余额（单位：万元）：</w:t>
      </w:r>
    </w:p>
    <w:tbl>
      <w:tblPr>
        <w:tblStyle w:val="11"/>
        <w:tblW w:w="8603" w:type="dxa"/>
        <w:jc w:val="center"/>
        <w:tblBorders>
          <w:top w:val="single" w:color="auto" w:sz="4" w:space="0"/>
          <w:left w:val="none" w:color="auto" w:sz="6" w:space="0"/>
          <w:bottom w:val="single" w:color="auto" w:sz="4" w:space="0"/>
          <w:right w:val="none" w:color="auto" w:sz="6" w:space="0"/>
          <w:insideH w:val="dashed" w:color="auto" w:sz="4" w:space="0"/>
          <w:insideV w:val="dashed" w:color="auto" w:sz="4" w:space="0"/>
        </w:tblBorders>
        <w:tblLayout w:type="fixed"/>
        <w:tblCellMar>
          <w:top w:w="0" w:type="dxa"/>
          <w:left w:w="0" w:type="dxa"/>
          <w:bottom w:w="0" w:type="dxa"/>
          <w:right w:w="0" w:type="dxa"/>
        </w:tblCellMar>
      </w:tblPr>
      <w:tblGrid>
        <w:gridCol w:w="5392"/>
        <w:gridCol w:w="1559"/>
        <w:gridCol w:w="1652"/>
      </w:tblGrid>
      <w:tr>
        <w:tblPrEx>
          <w:tblBorders>
            <w:top w:val="single" w:color="auto" w:sz="4" w:space="0"/>
            <w:left w:val="none" w:color="auto" w:sz="6" w:space="0"/>
            <w:bottom w:val="single" w:color="auto" w:sz="4" w:space="0"/>
            <w:right w:val="none" w:color="auto" w:sz="6" w:space="0"/>
            <w:insideH w:val="dashed" w:color="auto" w:sz="4" w:space="0"/>
            <w:insideV w:val="dashed" w:color="auto" w:sz="4" w:space="0"/>
          </w:tblBorders>
          <w:tblCellMar>
            <w:top w:w="0" w:type="dxa"/>
            <w:left w:w="0" w:type="dxa"/>
            <w:bottom w:w="0" w:type="dxa"/>
            <w:right w:w="0" w:type="dxa"/>
          </w:tblCellMar>
        </w:tblPrEx>
        <w:trPr>
          <w:trHeight w:val="460" w:hRule="atLeast"/>
          <w:jc w:val="center"/>
        </w:trPr>
        <w:tc>
          <w:tcPr>
            <w:tcW w:w="539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hAnsi="宋体" w:eastAsia="仿宋_GB2312" w:cs="宋体"/>
                <w:b/>
                <w:bCs/>
                <w:sz w:val="24"/>
                <w:szCs w:val="24"/>
                <w:highlight w:val="none"/>
              </w:rPr>
            </w:pPr>
            <w:r>
              <w:rPr>
                <w:rFonts w:hint="eastAsia" w:ascii="仿宋_GB2312" w:hAnsi="宋体" w:eastAsia="仿宋_GB2312" w:cs="宋体"/>
                <w:b/>
                <w:bCs/>
                <w:sz w:val="24"/>
                <w:szCs w:val="24"/>
                <w:highlight w:val="none"/>
              </w:rPr>
              <w:t>名  称</w:t>
            </w:r>
          </w:p>
        </w:tc>
        <w:tc>
          <w:tcPr>
            <w:tcW w:w="155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hAnsi="宋体" w:eastAsia="仿宋_GB2312" w:cs="宋体"/>
                <w:b/>
                <w:bCs/>
                <w:sz w:val="24"/>
                <w:szCs w:val="24"/>
                <w:highlight w:val="none"/>
              </w:rPr>
            </w:pPr>
            <w:r>
              <w:rPr>
                <w:rFonts w:hint="eastAsia" w:ascii="仿宋_GB2312" w:hAnsi="宋体" w:eastAsia="仿宋_GB2312" w:cs="宋体"/>
                <w:b/>
                <w:bCs/>
                <w:sz w:val="24"/>
                <w:szCs w:val="24"/>
                <w:highlight w:val="none"/>
              </w:rPr>
              <w:t>期末数</w:t>
            </w:r>
          </w:p>
        </w:tc>
        <w:tc>
          <w:tcPr>
            <w:tcW w:w="1652" w:type="dxa"/>
            <w:tcBorders>
              <w:top w:val="single" w:color="auto" w:sz="4" w:space="0"/>
              <w:left w:val="single" w:color="auto" w:sz="4" w:space="0"/>
              <w:bottom w:val="single" w:color="auto" w:sz="4" w:space="0"/>
              <w:right w:val="single" w:color="auto" w:sz="4" w:space="0"/>
            </w:tcBorders>
            <w:noWrap/>
            <w:vAlign w:val="center"/>
          </w:tcPr>
          <w:p>
            <w:pPr>
              <w:tabs>
                <w:tab w:val="right" w:pos="7740"/>
              </w:tabs>
              <w:spacing w:line="400" w:lineRule="exact"/>
              <w:jc w:val="center"/>
              <w:rPr>
                <w:rFonts w:ascii="仿宋_GB2312" w:hAnsi="宋体" w:eastAsia="仿宋_GB2312" w:cs="宋体"/>
                <w:b/>
                <w:bCs/>
                <w:sz w:val="24"/>
                <w:szCs w:val="24"/>
                <w:highlight w:val="none"/>
              </w:rPr>
            </w:pPr>
            <w:r>
              <w:rPr>
                <w:rFonts w:hint="eastAsia" w:ascii="仿宋_GB2312" w:hAnsi="宋体" w:eastAsia="仿宋_GB2312" w:cs="宋体"/>
                <w:b/>
                <w:bCs/>
                <w:sz w:val="24"/>
                <w:szCs w:val="24"/>
                <w:highlight w:val="none"/>
              </w:rPr>
              <w:t>期初数</w:t>
            </w:r>
          </w:p>
        </w:tc>
      </w:tr>
      <w:tr>
        <w:tblPrEx>
          <w:tblBorders>
            <w:top w:val="single" w:color="auto" w:sz="4" w:space="0"/>
            <w:left w:val="none" w:color="auto" w:sz="6" w:space="0"/>
            <w:bottom w:val="single" w:color="auto" w:sz="4" w:space="0"/>
            <w:right w:val="none" w:color="auto" w:sz="6" w:space="0"/>
            <w:insideH w:val="dashed" w:color="auto" w:sz="4" w:space="0"/>
            <w:insideV w:val="dashed" w:color="auto" w:sz="4" w:space="0"/>
          </w:tblBorders>
          <w:tblCellMar>
            <w:top w:w="0" w:type="dxa"/>
            <w:left w:w="0" w:type="dxa"/>
            <w:bottom w:w="0" w:type="dxa"/>
            <w:right w:w="0" w:type="dxa"/>
          </w:tblCellMar>
        </w:tblPrEx>
        <w:trPr>
          <w:trHeight w:val="460" w:hRule="atLeast"/>
          <w:jc w:val="center"/>
        </w:trPr>
        <w:tc>
          <w:tcPr>
            <w:tcW w:w="5392"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存放同业款项</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宋体" w:eastAsia="仿宋_GB2312" w:cs="宋体"/>
                <w:sz w:val="24"/>
                <w:szCs w:val="24"/>
                <w:highlight w:val="none"/>
              </w:rPr>
            </w:pPr>
          </w:p>
        </w:tc>
        <w:tc>
          <w:tcPr>
            <w:tcW w:w="1652"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宋体" w:eastAsia="仿宋_GB2312" w:cs="宋体"/>
                <w:sz w:val="24"/>
                <w:szCs w:val="24"/>
                <w:highlight w:val="none"/>
              </w:rPr>
            </w:pPr>
          </w:p>
        </w:tc>
      </w:tr>
      <w:tr>
        <w:tblPrEx>
          <w:tblBorders>
            <w:top w:val="single" w:color="auto" w:sz="4" w:space="0"/>
            <w:left w:val="none" w:color="auto" w:sz="6" w:space="0"/>
            <w:bottom w:val="single" w:color="auto" w:sz="4" w:space="0"/>
            <w:right w:val="none" w:color="auto" w:sz="6" w:space="0"/>
            <w:insideH w:val="dashed" w:color="auto" w:sz="4" w:space="0"/>
            <w:insideV w:val="dashed" w:color="auto" w:sz="4" w:space="0"/>
          </w:tblBorders>
          <w:tblCellMar>
            <w:top w:w="0" w:type="dxa"/>
            <w:left w:w="0" w:type="dxa"/>
            <w:bottom w:w="0" w:type="dxa"/>
            <w:right w:w="0" w:type="dxa"/>
          </w:tblCellMar>
        </w:tblPrEx>
        <w:trPr>
          <w:trHeight w:val="460" w:hRule="atLeast"/>
          <w:jc w:val="center"/>
        </w:trPr>
        <w:tc>
          <w:tcPr>
            <w:tcW w:w="5392"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ind w:firstLine="960" w:firstLineChars="400"/>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杭州联合农村商业银行股份有限公司</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ind w:right="105" w:rightChars="50"/>
              <w:jc w:val="center"/>
              <w:textAlignment w:val="center"/>
              <w:rPr>
                <w:rFonts w:ascii="仿宋_GB2312" w:hAnsi="仿宋_GB2312" w:eastAsia="仿宋_GB2312" w:cs="仿宋_GB2312"/>
                <w:color w:val="000000"/>
                <w:kern w:val="0"/>
                <w:sz w:val="24"/>
                <w:szCs w:val="24"/>
                <w:highlight w:val="none"/>
              </w:rPr>
            </w:pPr>
            <w:r>
              <w:rPr>
                <w:rFonts w:ascii="仿宋_GB2312" w:hAnsi="仿宋_GB2312" w:eastAsia="仿宋_GB2312" w:cs="仿宋_GB2312"/>
                <w:color w:val="000000"/>
                <w:kern w:val="0"/>
                <w:sz w:val="24"/>
                <w:szCs w:val="24"/>
                <w:highlight w:val="none"/>
              </w:rPr>
              <w:t>4853</w:t>
            </w:r>
            <w:r>
              <w:rPr>
                <w:rFonts w:hint="eastAsia" w:ascii="仿宋_GB2312" w:hAnsi="仿宋_GB2312" w:eastAsia="仿宋_GB2312" w:cs="仿宋_GB2312"/>
                <w:color w:val="000000"/>
                <w:kern w:val="0"/>
                <w:sz w:val="24"/>
                <w:szCs w:val="24"/>
                <w:highlight w:val="none"/>
              </w:rPr>
              <w:t>.</w:t>
            </w:r>
            <w:r>
              <w:rPr>
                <w:rFonts w:ascii="仿宋_GB2312" w:hAnsi="仿宋_GB2312" w:eastAsia="仿宋_GB2312" w:cs="仿宋_GB2312"/>
                <w:color w:val="000000"/>
                <w:kern w:val="0"/>
                <w:sz w:val="24"/>
                <w:szCs w:val="24"/>
                <w:highlight w:val="none"/>
              </w:rPr>
              <w:t>78</w:t>
            </w:r>
          </w:p>
        </w:tc>
        <w:tc>
          <w:tcPr>
            <w:tcW w:w="1652"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ind w:right="105" w:rightChars="50"/>
              <w:jc w:val="center"/>
              <w:textAlignment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6703.5</w:t>
            </w:r>
          </w:p>
        </w:tc>
      </w:tr>
      <w:tr>
        <w:tblPrEx>
          <w:tblBorders>
            <w:top w:val="single" w:color="auto" w:sz="4" w:space="0"/>
            <w:left w:val="none" w:color="auto" w:sz="6" w:space="0"/>
            <w:bottom w:val="single" w:color="auto" w:sz="4" w:space="0"/>
            <w:right w:val="none" w:color="auto" w:sz="6" w:space="0"/>
            <w:insideH w:val="dashed" w:color="auto" w:sz="4" w:space="0"/>
            <w:insideV w:val="dashed" w:color="auto" w:sz="4" w:space="0"/>
          </w:tblBorders>
          <w:tblCellMar>
            <w:top w:w="0" w:type="dxa"/>
            <w:left w:w="0" w:type="dxa"/>
            <w:bottom w:w="0" w:type="dxa"/>
            <w:right w:w="0" w:type="dxa"/>
          </w:tblCellMar>
        </w:tblPrEx>
        <w:trPr>
          <w:trHeight w:val="460" w:hRule="atLeast"/>
          <w:jc w:val="center"/>
        </w:trPr>
        <w:tc>
          <w:tcPr>
            <w:tcW w:w="5392"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ind w:firstLine="960" w:firstLineChars="400"/>
              <w:jc w:val="left"/>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浙江缙云联合村镇银行股份有限公司</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3000</w:t>
            </w:r>
          </w:p>
        </w:tc>
        <w:tc>
          <w:tcPr>
            <w:tcW w:w="1652"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宋体" w:eastAsia="仿宋_GB2312" w:cs="宋体"/>
                <w:sz w:val="24"/>
                <w:szCs w:val="24"/>
                <w:highlight w:val="none"/>
              </w:rPr>
            </w:pPr>
          </w:p>
        </w:tc>
      </w:tr>
      <w:tr>
        <w:tblPrEx>
          <w:tblBorders>
            <w:top w:val="single" w:color="auto" w:sz="4" w:space="0"/>
            <w:left w:val="none" w:color="auto" w:sz="6" w:space="0"/>
            <w:bottom w:val="single" w:color="auto" w:sz="4" w:space="0"/>
            <w:right w:val="none" w:color="auto" w:sz="6" w:space="0"/>
            <w:insideH w:val="dashed" w:color="auto" w:sz="4" w:space="0"/>
            <w:insideV w:val="dashed" w:color="auto" w:sz="4" w:space="0"/>
          </w:tblBorders>
          <w:tblCellMar>
            <w:top w:w="0" w:type="dxa"/>
            <w:left w:w="0" w:type="dxa"/>
            <w:bottom w:w="0" w:type="dxa"/>
            <w:right w:w="0" w:type="dxa"/>
          </w:tblCellMar>
        </w:tblPrEx>
        <w:trPr>
          <w:trHeight w:val="469" w:hRule="atLeast"/>
          <w:jc w:val="center"/>
        </w:trPr>
        <w:tc>
          <w:tcPr>
            <w:tcW w:w="5392"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小计</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7853.78</w:t>
            </w:r>
          </w:p>
        </w:tc>
        <w:tc>
          <w:tcPr>
            <w:tcW w:w="1652"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6703.5</w:t>
            </w:r>
          </w:p>
        </w:tc>
      </w:tr>
      <w:tr>
        <w:tblPrEx>
          <w:tblBorders>
            <w:top w:val="single" w:color="auto" w:sz="4" w:space="0"/>
            <w:left w:val="none" w:color="auto" w:sz="6" w:space="0"/>
            <w:bottom w:val="single" w:color="auto" w:sz="4" w:space="0"/>
            <w:right w:val="none" w:color="auto" w:sz="6" w:space="0"/>
            <w:insideH w:val="dashed" w:color="auto" w:sz="4" w:space="0"/>
            <w:insideV w:val="dashed" w:color="auto" w:sz="4" w:space="0"/>
          </w:tblBorders>
          <w:tblCellMar>
            <w:top w:w="0" w:type="dxa"/>
            <w:left w:w="0" w:type="dxa"/>
            <w:bottom w:w="0" w:type="dxa"/>
            <w:right w:w="0" w:type="dxa"/>
          </w:tblCellMar>
        </w:tblPrEx>
        <w:trPr>
          <w:trHeight w:val="460" w:hRule="atLeast"/>
          <w:jc w:val="center"/>
        </w:trPr>
        <w:tc>
          <w:tcPr>
            <w:tcW w:w="5392"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存放同业应收利息</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宋体" w:eastAsia="仿宋_GB2312" w:cs="宋体"/>
                <w:sz w:val="24"/>
                <w:szCs w:val="24"/>
                <w:highlight w:val="none"/>
              </w:rPr>
            </w:pPr>
          </w:p>
        </w:tc>
        <w:tc>
          <w:tcPr>
            <w:tcW w:w="1652"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宋体" w:eastAsia="仿宋_GB2312" w:cs="宋体"/>
                <w:sz w:val="24"/>
                <w:szCs w:val="24"/>
                <w:highlight w:val="none"/>
              </w:rPr>
            </w:pPr>
          </w:p>
        </w:tc>
      </w:tr>
      <w:tr>
        <w:tblPrEx>
          <w:tblBorders>
            <w:top w:val="single" w:color="auto" w:sz="4" w:space="0"/>
            <w:left w:val="none" w:color="auto" w:sz="6" w:space="0"/>
            <w:bottom w:val="single" w:color="auto" w:sz="4" w:space="0"/>
            <w:right w:val="none" w:color="auto" w:sz="6" w:space="0"/>
            <w:insideH w:val="dashed" w:color="auto" w:sz="4" w:space="0"/>
            <w:insideV w:val="dashed" w:color="auto" w:sz="4" w:space="0"/>
          </w:tblBorders>
          <w:tblCellMar>
            <w:top w:w="0" w:type="dxa"/>
            <w:left w:w="0" w:type="dxa"/>
            <w:bottom w:w="0" w:type="dxa"/>
            <w:right w:w="0" w:type="dxa"/>
          </w:tblCellMar>
        </w:tblPrEx>
        <w:trPr>
          <w:trHeight w:val="460" w:hRule="atLeast"/>
          <w:jc w:val="center"/>
        </w:trPr>
        <w:tc>
          <w:tcPr>
            <w:tcW w:w="5392"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ind w:firstLine="240" w:firstLineChars="100"/>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杭州联合农村商业银行股份有限公司</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1.95</w:t>
            </w:r>
          </w:p>
        </w:tc>
        <w:tc>
          <w:tcPr>
            <w:tcW w:w="1652"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3.91</w:t>
            </w:r>
          </w:p>
        </w:tc>
      </w:tr>
    </w:tbl>
    <w:p>
      <w:pPr>
        <w:tabs>
          <w:tab w:val="right" w:pos="7740"/>
        </w:tabs>
        <w:spacing w:line="560" w:lineRule="exact"/>
        <w:ind w:firstLine="600" w:firstLineChars="200"/>
        <w:rPr>
          <w:rFonts w:ascii="仿宋_GB2312" w:hAnsi="宋体" w:eastAsia="仿宋_GB2312" w:cs="宋体"/>
          <w:sz w:val="30"/>
          <w:szCs w:val="30"/>
          <w:highlight w:val="none"/>
        </w:rPr>
      </w:pPr>
      <w:r>
        <w:rPr>
          <w:rFonts w:hint="eastAsia" w:ascii="仿宋_GB2312" w:hAnsi="宋体" w:eastAsia="仿宋_GB2312" w:cs="宋体"/>
          <w:sz w:val="30"/>
          <w:szCs w:val="30"/>
          <w:highlight w:val="none"/>
        </w:rPr>
        <w:t>（3）本期关联方其他业务往来发生额</w:t>
      </w:r>
      <w:r>
        <w:rPr>
          <w:rFonts w:hint="eastAsia" w:ascii="仿宋_GB2312" w:hAnsi="仿宋_GB2312" w:eastAsia="仿宋_GB2312" w:cs="仿宋_GB2312"/>
          <w:sz w:val="30"/>
          <w:szCs w:val="30"/>
          <w:highlight w:val="none"/>
        </w:rPr>
        <w:t>（单位：万元）</w:t>
      </w:r>
      <w:r>
        <w:rPr>
          <w:rFonts w:hint="eastAsia" w:ascii="仿宋_GB2312" w:hAnsi="宋体" w:eastAsia="仿宋_GB2312" w:cs="宋体"/>
          <w:sz w:val="30"/>
          <w:szCs w:val="30"/>
          <w:highlight w:val="none"/>
        </w:rPr>
        <w:t>：</w:t>
      </w:r>
    </w:p>
    <w:tbl>
      <w:tblPr>
        <w:tblStyle w:val="11"/>
        <w:tblW w:w="8510" w:type="dxa"/>
        <w:jc w:val="center"/>
        <w:tblBorders>
          <w:top w:val="single" w:color="auto" w:sz="4" w:space="0"/>
          <w:left w:val="none" w:color="auto" w:sz="6" w:space="0"/>
          <w:bottom w:val="single" w:color="auto" w:sz="4" w:space="0"/>
          <w:right w:val="none" w:color="auto" w:sz="6" w:space="0"/>
          <w:insideH w:val="dashed" w:color="auto" w:sz="4" w:space="0"/>
          <w:insideV w:val="dashed" w:color="auto" w:sz="4" w:space="0"/>
        </w:tblBorders>
        <w:tblLayout w:type="fixed"/>
        <w:tblCellMar>
          <w:top w:w="0" w:type="dxa"/>
          <w:left w:w="0" w:type="dxa"/>
          <w:bottom w:w="0" w:type="dxa"/>
          <w:right w:w="0" w:type="dxa"/>
        </w:tblCellMar>
      </w:tblPr>
      <w:tblGrid>
        <w:gridCol w:w="5250"/>
        <w:gridCol w:w="1701"/>
        <w:gridCol w:w="1559"/>
      </w:tblGrid>
      <w:tr>
        <w:tblPrEx>
          <w:tblBorders>
            <w:top w:val="single" w:color="auto" w:sz="4" w:space="0"/>
            <w:left w:val="none" w:color="auto" w:sz="6" w:space="0"/>
            <w:bottom w:val="single" w:color="auto" w:sz="4" w:space="0"/>
            <w:right w:val="none" w:color="auto" w:sz="6" w:space="0"/>
            <w:insideH w:val="dashed" w:color="auto" w:sz="4" w:space="0"/>
            <w:insideV w:val="dashed" w:color="auto" w:sz="4" w:space="0"/>
          </w:tblBorders>
          <w:tblCellMar>
            <w:top w:w="0" w:type="dxa"/>
            <w:left w:w="0" w:type="dxa"/>
            <w:bottom w:w="0" w:type="dxa"/>
            <w:right w:w="0" w:type="dxa"/>
          </w:tblCellMar>
        </w:tblPrEx>
        <w:trPr>
          <w:trHeight w:val="460" w:hRule="atLeast"/>
          <w:jc w:val="center"/>
        </w:trPr>
        <w:tc>
          <w:tcPr>
            <w:tcW w:w="525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hAnsi="宋体" w:eastAsia="仿宋_GB2312" w:cs="宋体"/>
                <w:b/>
                <w:bCs/>
                <w:sz w:val="24"/>
                <w:szCs w:val="24"/>
                <w:highlight w:val="none"/>
              </w:rPr>
            </w:pPr>
            <w:r>
              <w:rPr>
                <w:rFonts w:hint="eastAsia" w:ascii="仿宋_GB2312" w:hAnsi="宋体" w:eastAsia="仿宋_GB2312" w:cs="宋体"/>
                <w:b/>
                <w:bCs/>
                <w:sz w:val="24"/>
                <w:szCs w:val="24"/>
                <w:highlight w:val="none"/>
              </w:rPr>
              <w:t>名  称</w:t>
            </w:r>
          </w:p>
        </w:tc>
        <w:tc>
          <w:tcPr>
            <w:tcW w:w="170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hAnsi="宋体" w:eastAsia="仿宋_GB2312" w:cs="宋体"/>
                <w:b/>
                <w:bCs/>
                <w:sz w:val="24"/>
                <w:szCs w:val="24"/>
                <w:highlight w:val="none"/>
              </w:rPr>
            </w:pPr>
            <w:r>
              <w:rPr>
                <w:rFonts w:hint="eastAsia" w:ascii="仿宋_GB2312" w:hAnsi="宋体" w:eastAsia="仿宋_GB2312" w:cs="宋体"/>
                <w:b/>
                <w:bCs/>
                <w:sz w:val="24"/>
                <w:szCs w:val="24"/>
                <w:highlight w:val="none"/>
              </w:rPr>
              <w:t>本期数</w:t>
            </w:r>
          </w:p>
        </w:tc>
        <w:tc>
          <w:tcPr>
            <w:tcW w:w="1559" w:type="dxa"/>
            <w:tcBorders>
              <w:top w:val="single" w:color="auto" w:sz="4" w:space="0"/>
              <w:left w:val="single" w:color="auto" w:sz="4" w:space="0"/>
              <w:bottom w:val="single" w:color="auto" w:sz="4" w:space="0"/>
              <w:right w:val="single" w:color="auto" w:sz="4" w:space="0"/>
            </w:tcBorders>
            <w:noWrap/>
            <w:vAlign w:val="center"/>
          </w:tcPr>
          <w:p>
            <w:pPr>
              <w:tabs>
                <w:tab w:val="right" w:pos="7740"/>
              </w:tabs>
              <w:spacing w:line="400" w:lineRule="exact"/>
              <w:jc w:val="center"/>
              <w:rPr>
                <w:rFonts w:ascii="仿宋_GB2312" w:hAnsi="宋体" w:eastAsia="仿宋_GB2312" w:cs="宋体"/>
                <w:b/>
                <w:bCs/>
                <w:sz w:val="24"/>
                <w:szCs w:val="24"/>
                <w:highlight w:val="none"/>
              </w:rPr>
            </w:pPr>
            <w:r>
              <w:rPr>
                <w:rFonts w:hint="eastAsia" w:ascii="仿宋_GB2312" w:hAnsi="宋体" w:eastAsia="仿宋_GB2312" w:cs="宋体"/>
                <w:b/>
                <w:bCs/>
                <w:sz w:val="24"/>
                <w:szCs w:val="24"/>
                <w:highlight w:val="none"/>
              </w:rPr>
              <w:t>上期数</w:t>
            </w:r>
          </w:p>
        </w:tc>
      </w:tr>
      <w:tr>
        <w:tblPrEx>
          <w:tblBorders>
            <w:top w:val="single" w:color="auto" w:sz="4" w:space="0"/>
            <w:left w:val="none" w:color="auto" w:sz="6" w:space="0"/>
            <w:bottom w:val="single" w:color="auto" w:sz="4" w:space="0"/>
            <w:right w:val="none" w:color="auto" w:sz="6" w:space="0"/>
            <w:insideH w:val="dashed" w:color="auto" w:sz="4" w:space="0"/>
            <w:insideV w:val="dashed" w:color="auto" w:sz="4" w:space="0"/>
          </w:tblBorders>
          <w:tblCellMar>
            <w:top w:w="0" w:type="dxa"/>
            <w:left w:w="0" w:type="dxa"/>
            <w:bottom w:w="0" w:type="dxa"/>
            <w:right w:w="0" w:type="dxa"/>
          </w:tblCellMar>
        </w:tblPrEx>
        <w:trPr>
          <w:trHeight w:val="460" w:hRule="atLeast"/>
          <w:jc w:val="center"/>
        </w:trPr>
        <w:tc>
          <w:tcPr>
            <w:tcW w:w="525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存放同业利息收入</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宋体" w:eastAsia="仿宋_GB2312" w:cs="宋体"/>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宋体" w:eastAsia="仿宋_GB2312" w:cs="宋体"/>
                <w:sz w:val="24"/>
                <w:szCs w:val="24"/>
                <w:highlight w:val="none"/>
              </w:rPr>
            </w:pPr>
          </w:p>
        </w:tc>
      </w:tr>
      <w:tr>
        <w:tblPrEx>
          <w:tblBorders>
            <w:top w:val="single" w:color="auto" w:sz="4" w:space="0"/>
            <w:left w:val="none" w:color="auto" w:sz="6" w:space="0"/>
            <w:bottom w:val="single" w:color="auto" w:sz="4" w:space="0"/>
            <w:right w:val="none" w:color="auto" w:sz="6" w:space="0"/>
            <w:insideH w:val="dashed" w:color="auto" w:sz="4" w:space="0"/>
            <w:insideV w:val="dashed" w:color="auto" w:sz="4" w:space="0"/>
          </w:tblBorders>
          <w:tblCellMar>
            <w:top w:w="0" w:type="dxa"/>
            <w:left w:w="0" w:type="dxa"/>
            <w:bottom w:w="0" w:type="dxa"/>
            <w:right w:w="0" w:type="dxa"/>
          </w:tblCellMar>
        </w:tblPrEx>
        <w:trPr>
          <w:trHeight w:val="460" w:hRule="atLeast"/>
          <w:jc w:val="center"/>
        </w:trPr>
        <w:tc>
          <w:tcPr>
            <w:tcW w:w="525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ind w:firstLine="240" w:firstLineChars="100"/>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杭州联合农村商业银行股份有限公司</w:t>
            </w:r>
          </w:p>
        </w:tc>
        <w:tc>
          <w:tcPr>
            <w:tcW w:w="170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hAnsi="宋体" w:eastAsia="仿宋_GB2312" w:cs="宋体"/>
                <w:color w:val="000000"/>
                <w:sz w:val="24"/>
                <w:szCs w:val="24"/>
                <w:highlight w:val="none"/>
              </w:rPr>
            </w:pPr>
            <w:r>
              <w:rPr>
                <w:rFonts w:ascii="仿宋_GB2312" w:hAnsi="宋体" w:eastAsia="仿宋_GB2312"/>
                <w:color w:val="000000"/>
                <w:sz w:val="24"/>
                <w:szCs w:val="24"/>
                <w:highlight w:val="none"/>
              </w:rPr>
              <w:t>115</w:t>
            </w:r>
            <w:r>
              <w:rPr>
                <w:rFonts w:hint="eastAsia" w:ascii="仿宋_GB2312" w:hAnsi="宋体" w:eastAsia="仿宋_GB2312"/>
                <w:color w:val="000000"/>
                <w:sz w:val="24"/>
                <w:szCs w:val="24"/>
                <w:highlight w:val="none"/>
              </w:rPr>
              <w:t>.</w:t>
            </w:r>
            <w:r>
              <w:rPr>
                <w:rFonts w:ascii="仿宋_GB2312" w:hAnsi="宋体" w:eastAsia="仿宋_GB2312"/>
                <w:color w:val="000000"/>
                <w:sz w:val="24"/>
                <w:szCs w:val="24"/>
                <w:highlight w:val="none"/>
              </w:rPr>
              <w:t>2</w:t>
            </w:r>
            <w:r>
              <w:rPr>
                <w:rFonts w:hint="eastAsia" w:ascii="仿宋_GB2312" w:hAnsi="宋体" w:eastAsia="仿宋_GB2312"/>
                <w:color w:val="000000"/>
                <w:sz w:val="24"/>
                <w:szCs w:val="24"/>
                <w:highlight w:val="none"/>
              </w:rPr>
              <w:t>8</w:t>
            </w:r>
          </w:p>
        </w:tc>
        <w:tc>
          <w:tcPr>
            <w:tcW w:w="155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hAnsi="宋体" w:eastAsia="仿宋_GB2312" w:cs="宋体"/>
                <w:color w:val="000000"/>
                <w:sz w:val="24"/>
                <w:szCs w:val="24"/>
                <w:highlight w:val="none"/>
              </w:rPr>
            </w:pPr>
            <w:r>
              <w:rPr>
                <w:rFonts w:hint="eastAsia" w:ascii="仿宋_GB2312" w:hAnsi="宋体" w:eastAsia="仿宋_GB2312"/>
                <w:color w:val="000000"/>
                <w:sz w:val="24"/>
                <w:szCs w:val="24"/>
                <w:highlight w:val="none"/>
              </w:rPr>
              <w:t>347.93</w:t>
            </w:r>
          </w:p>
        </w:tc>
      </w:tr>
      <w:tr>
        <w:tblPrEx>
          <w:tblBorders>
            <w:top w:val="single" w:color="auto" w:sz="4" w:space="0"/>
            <w:left w:val="none" w:color="auto" w:sz="6" w:space="0"/>
            <w:bottom w:val="single" w:color="auto" w:sz="4" w:space="0"/>
            <w:right w:val="none" w:color="auto" w:sz="6" w:space="0"/>
            <w:insideH w:val="dashed" w:color="auto" w:sz="4" w:space="0"/>
            <w:insideV w:val="dashed" w:color="auto" w:sz="4" w:space="0"/>
          </w:tblBorders>
          <w:tblCellMar>
            <w:top w:w="0" w:type="dxa"/>
            <w:left w:w="0" w:type="dxa"/>
            <w:bottom w:w="0" w:type="dxa"/>
            <w:right w:w="0" w:type="dxa"/>
          </w:tblCellMar>
        </w:tblPrEx>
        <w:trPr>
          <w:trHeight w:val="460" w:hRule="atLeast"/>
          <w:jc w:val="center"/>
        </w:trPr>
        <w:tc>
          <w:tcPr>
            <w:tcW w:w="525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ind w:firstLine="240" w:firstLineChars="100"/>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浙江缙云联合村镇银行股份有限公司</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17.84</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宋体" w:eastAsia="仿宋_GB2312" w:cs="宋体"/>
                <w:sz w:val="24"/>
                <w:szCs w:val="24"/>
                <w:highlight w:val="none"/>
              </w:rPr>
            </w:pPr>
          </w:p>
        </w:tc>
      </w:tr>
      <w:tr>
        <w:tblPrEx>
          <w:tblBorders>
            <w:top w:val="single" w:color="auto" w:sz="4" w:space="0"/>
            <w:left w:val="none" w:color="auto" w:sz="6" w:space="0"/>
            <w:bottom w:val="single" w:color="auto" w:sz="4" w:space="0"/>
            <w:right w:val="none" w:color="auto" w:sz="6" w:space="0"/>
            <w:insideH w:val="dashed" w:color="auto" w:sz="4" w:space="0"/>
            <w:insideV w:val="dashed" w:color="auto" w:sz="4" w:space="0"/>
          </w:tblBorders>
          <w:tblCellMar>
            <w:top w:w="0" w:type="dxa"/>
            <w:left w:w="0" w:type="dxa"/>
            <w:bottom w:w="0" w:type="dxa"/>
            <w:right w:w="0" w:type="dxa"/>
          </w:tblCellMar>
        </w:tblPrEx>
        <w:trPr>
          <w:trHeight w:val="460" w:hRule="atLeast"/>
          <w:jc w:val="center"/>
        </w:trPr>
        <w:tc>
          <w:tcPr>
            <w:tcW w:w="525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ind w:firstLine="240" w:firstLineChars="100"/>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浙江诸暨联合村镇银行股份有限公司</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6.77</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宋体" w:eastAsia="仿宋_GB2312" w:cs="宋体"/>
                <w:sz w:val="24"/>
                <w:szCs w:val="24"/>
                <w:highlight w:val="none"/>
              </w:rPr>
            </w:pPr>
          </w:p>
        </w:tc>
      </w:tr>
      <w:tr>
        <w:tblPrEx>
          <w:tblBorders>
            <w:top w:val="single" w:color="auto" w:sz="4" w:space="0"/>
            <w:left w:val="none" w:color="auto" w:sz="6" w:space="0"/>
            <w:bottom w:val="single" w:color="auto" w:sz="4" w:space="0"/>
            <w:right w:val="none" w:color="auto" w:sz="6" w:space="0"/>
            <w:insideH w:val="dashed" w:color="auto" w:sz="4" w:space="0"/>
            <w:insideV w:val="dashed" w:color="auto" w:sz="4" w:space="0"/>
          </w:tblBorders>
          <w:tblCellMar>
            <w:top w:w="0" w:type="dxa"/>
            <w:left w:w="0" w:type="dxa"/>
            <w:bottom w:w="0" w:type="dxa"/>
            <w:right w:w="0" w:type="dxa"/>
          </w:tblCellMar>
        </w:tblPrEx>
        <w:trPr>
          <w:trHeight w:val="460" w:hRule="atLeast"/>
          <w:jc w:val="center"/>
        </w:trPr>
        <w:tc>
          <w:tcPr>
            <w:tcW w:w="525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ind w:firstLine="240" w:firstLineChars="100"/>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浙江长兴联合村镇银行股份有限公司</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2.33</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宋体" w:eastAsia="仿宋_GB2312" w:cs="宋体"/>
                <w:sz w:val="24"/>
                <w:szCs w:val="24"/>
                <w:highlight w:val="none"/>
              </w:rPr>
            </w:pPr>
          </w:p>
        </w:tc>
      </w:tr>
      <w:tr>
        <w:tblPrEx>
          <w:tblBorders>
            <w:top w:val="single" w:color="auto" w:sz="4" w:space="0"/>
            <w:left w:val="none" w:color="auto" w:sz="6" w:space="0"/>
            <w:bottom w:val="single" w:color="auto" w:sz="4" w:space="0"/>
            <w:right w:val="none" w:color="auto" w:sz="6" w:space="0"/>
            <w:insideH w:val="dashed" w:color="auto" w:sz="4" w:space="0"/>
            <w:insideV w:val="dashed" w:color="auto" w:sz="4" w:space="0"/>
          </w:tblBorders>
          <w:tblCellMar>
            <w:top w:w="0" w:type="dxa"/>
            <w:left w:w="0" w:type="dxa"/>
            <w:bottom w:w="0" w:type="dxa"/>
            <w:right w:w="0" w:type="dxa"/>
          </w:tblCellMar>
        </w:tblPrEx>
        <w:trPr>
          <w:trHeight w:val="460" w:hRule="atLeast"/>
          <w:jc w:val="center"/>
        </w:trPr>
        <w:tc>
          <w:tcPr>
            <w:tcW w:w="525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小计</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142.22</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347.93</w:t>
            </w:r>
          </w:p>
        </w:tc>
      </w:tr>
      <w:tr>
        <w:tblPrEx>
          <w:tblBorders>
            <w:top w:val="single" w:color="auto" w:sz="4" w:space="0"/>
            <w:left w:val="none" w:color="auto" w:sz="6" w:space="0"/>
            <w:bottom w:val="single" w:color="auto" w:sz="4" w:space="0"/>
            <w:right w:val="none" w:color="auto" w:sz="6" w:space="0"/>
            <w:insideH w:val="dashed" w:color="auto" w:sz="4" w:space="0"/>
            <w:insideV w:val="dashed" w:color="auto" w:sz="4" w:space="0"/>
          </w:tblBorders>
          <w:tblCellMar>
            <w:top w:w="0" w:type="dxa"/>
            <w:left w:w="0" w:type="dxa"/>
            <w:bottom w:w="0" w:type="dxa"/>
            <w:right w:w="0" w:type="dxa"/>
          </w:tblCellMar>
        </w:tblPrEx>
        <w:trPr>
          <w:trHeight w:val="460" w:hRule="atLeast"/>
          <w:jc w:val="center"/>
        </w:trPr>
        <w:tc>
          <w:tcPr>
            <w:tcW w:w="525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同业存放利息支出</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宋体" w:eastAsia="仿宋_GB2312" w:cs="宋体"/>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宋体" w:eastAsia="仿宋_GB2312" w:cs="宋体"/>
                <w:sz w:val="24"/>
                <w:szCs w:val="24"/>
                <w:highlight w:val="none"/>
              </w:rPr>
            </w:pPr>
          </w:p>
        </w:tc>
      </w:tr>
      <w:tr>
        <w:tblPrEx>
          <w:tblBorders>
            <w:top w:val="single" w:color="auto" w:sz="4" w:space="0"/>
            <w:left w:val="none" w:color="auto" w:sz="6" w:space="0"/>
            <w:bottom w:val="single" w:color="auto" w:sz="4" w:space="0"/>
            <w:right w:val="none" w:color="auto" w:sz="6" w:space="0"/>
            <w:insideH w:val="dashed" w:color="auto" w:sz="4" w:space="0"/>
            <w:insideV w:val="dashed" w:color="auto" w:sz="4" w:space="0"/>
          </w:tblBorders>
          <w:tblCellMar>
            <w:top w:w="0" w:type="dxa"/>
            <w:left w:w="0" w:type="dxa"/>
            <w:bottom w:w="0" w:type="dxa"/>
            <w:right w:w="0" w:type="dxa"/>
          </w:tblCellMar>
        </w:tblPrEx>
        <w:trPr>
          <w:trHeight w:val="460" w:hRule="atLeast"/>
          <w:jc w:val="center"/>
        </w:trPr>
        <w:tc>
          <w:tcPr>
            <w:tcW w:w="525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ind w:firstLine="240" w:firstLineChars="100"/>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浙江嘉善联合村镇银行股份有限公司</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0.44</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ind w:firstLine="210" w:firstLineChars="100"/>
              <w:jc w:val="center"/>
              <w:rPr>
                <w:rFonts w:ascii="仿宋_GB2312" w:hAnsi="宋体" w:eastAsia="仿宋_GB2312" w:cs="宋体"/>
                <w:sz w:val="24"/>
                <w:szCs w:val="24"/>
                <w:highlight w:val="none"/>
              </w:rPr>
            </w:pPr>
            <w:r>
              <w:rPr>
                <w:rFonts w:hint="eastAsia" w:ascii="仿宋_GB2312" w:hAnsi="宋体" w:eastAsia="仿宋_GB2312" w:cs="宋体"/>
                <w:szCs w:val="24"/>
                <w:highlight w:val="none"/>
              </w:rPr>
              <w:t>4.67</w:t>
            </w:r>
          </w:p>
        </w:tc>
      </w:tr>
      <w:tr>
        <w:tblPrEx>
          <w:tblBorders>
            <w:top w:val="single" w:color="auto" w:sz="4" w:space="0"/>
            <w:left w:val="none" w:color="auto" w:sz="6" w:space="0"/>
            <w:bottom w:val="single" w:color="auto" w:sz="4" w:space="0"/>
            <w:right w:val="none" w:color="auto" w:sz="6" w:space="0"/>
            <w:insideH w:val="dashed" w:color="auto" w:sz="4" w:space="0"/>
            <w:insideV w:val="dashed" w:color="auto" w:sz="4" w:space="0"/>
          </w:tblBorders>
          <w:tblCellMar>
            <w:top w:w="0" w:type="dxa"/>
            <w:left w:w="0" w:type="dxa"/>
            <w:bottom w:w="0" w:type="dxa"/>
            <w:right w:w="0" w:type="dxa"/>
          </w:tblCellMar>
        </w:tblPrEx>
        <w:trPr>
          <w:trHeight w:val="460" w:hRule="atLeast"/>
          <w:jc w:val="center"/>
        </w:trPr>
        <w:tc>
          <w:tcPr>
            <w:tcW w:w="525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ind w:firstLine="240" w:firstLineChars="100"/>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浙江缙云联合村镇银行股份有限公司</w:t>
            </w:r>
          </w:p>
        </w:tc>
        <w:tc>
          <w:tcPr>
            <w:tcW w:w="1701" w:type="dxa"/>
            <w:tcBorders>
              <w:top w:val="single" w:color="auto" w:sz="4" w:space="0"/>
              <w:left w:val="single" w:color="auto" w:sz="4" w:space="0"/>
              <w:bottom w:val="single" w:color="auto" w:sz="4" w:space="0"/>
              <w:right w:val="single" w:color="auto" w:sz="4" w:space="0"/>
            </w:tcBorders>
            <w:noWrap/>
            <w:vAlign w:val="center"/>
          </w:tcPr>
          <w:p>
            <w:pPr>
              <w:pStyle w:val="9"/>
              <w:adjustRightInd w:val="0"/>
              <w:spacing w:line="400" w:lineRule="exact"/>
              <w:ind w:firstLine="120" w:firstLineChars="50"/>
              <w:jc w:val="center"/>
              <w:rPr>
                <w:rFonts w:ascii="仿宋_GB2312" w:hAnsi="宋体" w:eastAsia="仿宋_GB2312" w:cs="宋体"/>
                <w:szCs w:val="24"/>
                <w:highlight w:val="none"/>
              </w:rPr>
            </w:pPr>
            <w:r>
              <w:rPr>
                <w:rFonts w:hint="eastAsia" w:ascii="仿宋_GB2312" w:hAnsi="宋体" w:eastAsia="仿宋_GB2312" w:cs="宋体"/>
                <w:szCs w:val="24"/>
                <w:highlight w:val="none"/>
              </w:rPr>
              <w:t>-</w:t>
            </w:r>
          </w:p>
        </w:tc>
        <w:tc>
          <w:tcPr>
            <w:tcW w:w="1559" w:type="dxa"/>
            <w:tcBorders>
              <w:top w:val="single" w:color="auto" w:sz="4" w:space="0"/>
              <w:left w:val="single" w:color="auto" w:sz="4" w:space="0"/>
              <w:bottom w:val="single" w:color="auto" w:sz="4" w:space="0"/>
              <w:right w:val="single" w:color="auto" w:sz="4" w:space="0"/>
            </w:tcBorders>
            <w:noWrap/>
            <w:vAlign w:val="center"/>
          </w:tcPr>
          <w:p>
            <w:pPr>
              <w:pStyle w:val="9"/>
              <w:adjustRightInd w:val="0"/>
              <w:spacing w:line="400" w:lineRule="exact"/>
              <w:ind w:firstLine="120" w:firstLineChars="50"/>
              <w:jc w:val="center"/>
              <w:rPr>
                <w:rFonts w:ascii="仿宋_GB2312" w:hAnsi="宋体" w:eastAsia="仿宋_GB2312" w:cs="宋体"/>
                <w:szCs w:val="24"/>
                <w:highlight w:val="none"/>
              </w:rPr>
            </w:pPr>
            <w:r>
              <w:rPr>
                <w:rFonts w:hint="eastAsia" w:ascii="仿宋_GB2312" w:hAnsi="宋体" w:eastAsia="仿宋_GB2312" w:cs="宋体"/>
                <w:szCs w:val="24"/>
                <w:highlight w:val="none"/>
              </w:rPr>
              <w:t>1.22</w:t>
            </w:r>
          </w:p>
        </w:tc>
      </w:tr>
      <w:tr>
        <w:tblPrEx>
          <w:tblBorders>
            <w:top w:val="single" w:color="auto" w:sz="4" w:space="0"/>
            <w:left w:val="none" w:color="auto" w:sz="6" w:space="0"/>
            <w:bottom w:val="single" w:color="auto" w:sz="4" w:space="0"/>
            <w:right w:val="none" w:color="auto" w:sz="6" w:space="0"/>
            <w:insideH w:val="dashed" w:color="auto" w:sz="4" w:space="0"/>
            <w:insideV w:val="dashed" w:color="auto" w:sz="4" w:space="0"/>
          </w:tblBorders>
          <w:tblCellMar>
            <w:top w:w="0" w:type="dxa"/>
            <w:left w:w="0" w:type="dxa"/>
            <w:bottom w:w="0" w:type="dxa"/>
            <w:right w:w="0" w:type="dxa"/>
          </w:tblCellMar>
        </w:tblPrEx>
        <w:trPr>
          <w:trHeight w:val="460" w:hRule="atLeast"/>
          <w:jc w:val="center"/>
        </w:trPr>
        <w:tc>
          <w:tcPr>
            <w:tcW w:w="525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小  计</w:t>
            </w:r>
          </w:p>
        </w:tc>
        <w:tc>
          <w:tcPr>
            <w:tcW w:w="1701" w:type="dxa"/>
            <w:tcBorders>
              <w:top w:val="single" w:color="auto" w:sz="4" w:space="0"/>
              <w:left w:val="single" w:color="auto" w:sz="4" w:space="0"/>
              <w:bottom w:val="single" w:color="auto" w:sz="4" w:space="0"/>
              <w:right w:val="single" w:color="auto" w:sz="4" w:space="0"/>
            </w:tcBorders>
            <w:noWrap/>
            <w:vAlign w:val="center"/>
          </w:tcPr>
          <w:p>
            <w:pPr>
              <w:pStyle w:val="9"/>
              <w:adjustRightInd w:val="0"/>
              <w:spacing w:line="400" w:lineRule="exact"/>
              <w:ind w:firstLine="120" w:firstLineChars="50"/>
              <w:jc w:val="center"/>
              <w:rPr>
                <w:rFonts w:ascii="仿宋_GB2312" w:hAnsi="宋体" w:eastAsia="仿宋_GB2312" w:cs="Times New Roman"/>
                <w:color w:val="000000"/>
                <w:szCs w:val="24"/>
                <w:highlight w:val="none"/>
              </w:rPr>
            </w:pPr>
            <w:r>
              <w:rPr>
                <w:rFonts w:hint="eastAsia" w:ascii="仿宋_GB2312" w:hAnsi="宋体" w:eastAsia="仿宋_GB2312" w:cs="Times New Roman"/>
                <w:color w:val="000000"/>
                <w:szCs w:val="24"/>
                <w:highlight w:val="none"/>
              </w:rPr>
              <w:t>0.44</w:t>
            </w:r>
          </w:p>
        </w:tc>
        <w:tc>
          <w:tcPr>
            <w:tcW w:w="1559" w:type="dxa"/>
            <w:tcBorders>
              <w:top w:val="single" w:color="auto" w:sz="4" w:space="0"/>
              <w:left w:val="single" w:color="auto" w:sz="4" w:space="0"/>
              <w:bottom w:val="single" w:color="auto" w:sz="4" w:space="0"/>
              <w:right w:val="single" w:color="auto" w:sz="4" w:space="0"/>
            </w:tcBorders>
            <w:noWrap/>
            <w:vAlign w:val="center"/>
          </w:tcPr>
          <w:p>
            <w:pPr>
              <w:pStyle w:val="9"/>
              <w:adjustRightInd w:val="0"/>
              <w:spacing w:line="400" w:lineRule="exact"/>
              <w:ind w:firstLine="120" w:firstLineChars="50"/>
              <w:jc w:val="center"/>
              <w:rPr>
                <w:rFonts w:ascii="仿宋_GB2312" w:hAnsi="宋体" w:eastAsia="仿宋_GB2312" w:cs="宋体"/>
                <w:szCs w:val="24"/>
                <w:highlight w:val="none"/>
              </w:rPr>
            </w:pPr>
            <w:r>
              <w:rPr>
                <w:rFonts w:hint="eastAsia" w:ascii="仿宋_GB2312" w:hAnsi="宋体" w:eastAsia="仿宋_GB2312" w:cs="Times New Roman"/>
                <w:color w:val="000000"/>
                <w:szCs w:val="24"/>
                <w:highlight w:val="none"/>
              </w:rPr>
              <w:t>5.89</w:t>
            </w:r>
          </w:p>
        </w:tc>
      </w:tr>
    </w:tbl>
    <w:p>
      <w:pPr>
        <w:spacing w:line="560" w:lineRule="exact"/>
        <w:ind w:firstLine="643" w:firstLineChars="200"/>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（五）资本充足率情况</w:t>
      </w:r>
    </w:p>
    <w:p>
      <w:pPr>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编制单位：浙江柯桥联合村镇银行股份有限公司</w:t>
      </w:r>
    </w:p>
    <w:p>
      <w:pPr>
        <w:spacing w:line="560" w:lineRule="exact"/>
        <w:ind w:firstLine="640" w:firstLineChars="200"/>
        <w:rPr>
          <w:rFonts w:ascii="楷体_GB2312" w:hAnsi="楷体_GB2312" w:eastAsia="楷体_GB2312" w:cs="楷体_GB2312"/>
          <w:b/>
          <w:sz w:val="32"/>
          <w:szCs w:val="32"/>
          <w:highlight w:val="none"/>
        </w:rPr>
      </w:pPr>
      <w:r>
        <w:rPr>
          <w:rFonts w:hint="eastAsia" w:ascii="仿宋_GB2312" w:hAnsi="仿宋_GB2312" w:eastAsia="仿宋_GB2312" w:cs="仿宋_GB2312"/>
          <w:sz w:val="32"/>
          <w:szCs w:val="32"/>
          <w:highlight w:val="none"/>
        </w:rPr>
        <w:t>编制月份：2022年12月          金额单位：人民币万元</w:t>
      </w:r>
    </w:p>
    <w:tbl>
      <w:tblPr>
        <w:tblStyle w:val="11"/>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5"/>
        <w:gridCol w:w="3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549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项目</w:t>
            </w:r>
          </w:p>
        </w:tc>
        <w:tc>
          <w:tcPr>
            <w:tcW w:w="3124"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2022年12月31日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549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eastAsia="仿宋_GB2312"/>
                <w:color w:val="0D0D0D"/>
                <w:sz w:val="24"/>
                <w:szCs w:val="24"/>
                <w:highlight w:val="none"/>
              </w:rPr>
            </w:pPr>
            <w:r>
              <w:rPr>
                <w:rFonts w:hint="eastAsia" w:ascii="仿宋_GB2312" w:eastAsia="仿宋_GB2312"/>
                <w:color w:val="0D0D0D"/>
                <w:sz w:val="24"/>
                <w:szCs w:val="24"/>
                <w:highlight w:val="none"/>
              </w:rPr>
              <w:t>核心一级资本充足率(%)</w:t>
            </w:r>
          </w:p>
        </w:tc>
        <w:tc>
          <w:tcPr>
            <w:tcW w:w="3124" w:type="dxa"/>
            <w:tcBorders>
              <w:top w:val="single" w:color="auto" w:sz="4" w:space="0"/>
              <w:left w:val="nil"/>
              <w:bottom w:val="single" w:color="auto" w:sz="4" w:space="0"/>
              <w:right w:val="single" w:color="auto" w:sz="4" w:space="0"/>
            </w:tcBorders>
            <w:noWrap/>
          </w:tcPr>
          <w:p>
            <w:pPr>
              <w:jc w:val="center"/>
              <w:rPr>
                <w:rFonts w:ascii="仿宋_GB2312" w:hAnsi="仿宋" w:eastAsia="仿宋_GB2312"/>
                <w:kern w:val="0"/>
                <w:sz w:val="24"/>
                <w:szCs w:val="24"/>
                <w:highlight w:val="none"/>
              </w:rPr>
            </w:pPr>
            <w:r>
              <w:rPr>
                <w:rFonts w:ascii="仿宋_GB2312" w:hAnsi="仿宋" w:eastAsia="仿宋_GB2312"/>
                <w:kern w:val="0"/>
                <w:sz w:val="24"/>
                <w:szCs w:val="24"/>
                <w:highlight w:val="none"/>
              </w:rPr>
              <w:t>18.51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549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eastAsia="仿宋_GB2312"/>
                <w:color w:val="0D0D0D"/>
                <w:sz w:val="24"/>
                <w:szCs w:val="24"/>
                <w:highlight w:val="none"/>
              </w:rPr>
            </w:pPr>
            <w:r>
              <w:rPr>
                <w:rFonts w:hint="eastAsia" w:ascii="仿宋_GB2312" w:eastAsia="仿宋_GB2312"/>
                <w:color w:val="0D0D0D"/>
                <w:sz w:val="24"/>
                <w:szCs w:val="24"/>
                <w:highlight w:val="none"/>
              </w:rPr>
              <w:t>一级资本充足率(%)</w:t>
            </w:r>
          </w:p>
        </w:tc>
        <w:tc>
          <w:tcPr>
            <w:tcW w:w="3124" w:type="dxa"/>
            <w:tcBorders>
              <w:top w:val="single" w:color="auto" w:sz="4" w:space="0"/>
              <w:left w:val="nil"/>
              <w:bottom w:val="single" w:color="auto" w:sz="4" w:space="0"/>
              <w:right w:val="single" w:color="auto" w:sz="4" w:space="0"/>
            </w:tcBorders>
            <w:noWrap/>
          </w:tcPr>
          <w:p>
            <w:pPr>
              <w:jc w:val="center"/>
              <w:rPr>
                <w:rFonts w:ascii="仿宋_GB2312" w:hAnsi="仿宋" w:eastAsia="仿宋_GB2312"/>
                <w:kern w:val="0"/>
                <w:sz w:val="24"/>
                <w:szCs w:val="24"/>
                <w:highlight w:val="none"/>
              </w:rPr>
            </w:pPr>
            <w:r>
              <w:rPr>
                <w:rFonts w:ascii="仿宋_GB2312" w:hAnsi="仿宋" w:eastAsia="仿宋_GB2312"/>
                <w:kern w:val="0"/>
                <w:sz w:val="24"/>
                <w:szCs w:val="24"/>
                <w:highlight w:val="none"/>
              </w:rPr>
              <w:t>18.51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549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eastAsia="仿宋_GB2312"/>
                <w:color w:val="0D0D0D"/>
                <w:sz w:val="24"/>
                <w:szCs w:val="24"/>
                <w:highlight w:val="none"/>
              </w:rPr>
            </w:pPr>
            <w:r>
              <w:rPr>
                <w:rFonts w:hint="eastAsia" w:ascii="仿宋_GB2312" w:eastAsia="仿宋_GB2312"/>
                <w:color w:val="0D0D0D"/>
                <w:sz w:val="24"/>
                <w:szCs w:val="24"/>
                <w:highlight w:val="none"/>
              </w:rPr>
              <w:t>资本充足率(%)</w:t>
            </w:r>
          </w:p>
        </w:tc>
        <w:tc>
          <w:tcPr>
            <w:tcW w:w="3124" w:type="dxa"/>
            <w:tcBorders>
              <w:top w:val="single" w:color="auto" w:sz="4" w:space="0"/>
              <w:left w:val="nil"/>
              <w:bottom w:val="single" w:color="auto" w:sz="4" w:space="0"/>
              <w:right w:val="single" w:color="auto" w:sz="4" w:space="0"/>
            </w:tcBorders>
            <w:noWrap/>
          </w:tcPr>
          <w:p>
            <w:pPr>
              <w:jc w:val="center"/>
              <w:rPr>
                <w:rFonts w:ascii="仿宋_GB2312" w:hAnsi="仿宋" w:eastAsia="仿宋_GB2312"/>
                <w:kern w:val="0"/>
                <w:sz w:val="24"/>
                <w:szCs w:val="24"/>
                <w:highlight w:val="none"/>
              </w:rPr>
            </w:pPr>
            <w:r>
              <w:rPr>
                <w:rFonts w:ascii="仿宋_GB2312" w:hAnsi="仿宋" w:eastAsia="仿宋_GB2312"/>
                <w:kern w:val="0"/>
                <w:sz w:val="24"/>
                <w:szCs w:val="24"/>
                <w:highlight w:val="none"/>
              </w:rPr>
              <w:t>19.65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549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eastAsia="仿宋_GB2312"/>
                <w:color w:val="0D0D0D"/>
                <w:sz w:val="24"/>
                <w:szCs w:val="24"/>
                <w:highlight w:val="none"/>
              </w:rPr>
            </w:pPr>
            <w:r>
              <w:rPr>
                <w:rFonts w:hint="eastAsia" w:ascii="仿宋_GB2312" w:eastAsia="仿宋_GB2312"/>
                <w:color w:val="0D0D0D"/>
                <w:sz w:val="24"/>
                <w:szCs w:val="24"/>
                <w:highlight w:val="none"/>
              </w:rPr>
              <w:t>核心一级资本</w:t>
            </w:r>
          </w:p>
        </w:tc>
        <w:tc>
          <w:tcPr>
            <w:tcW w:w="3124"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kern w:val="0"/>
                <w:sz w:val="24"/>
                <w:szCs w:val="24"/>
                <w:highlight w:val="none"/>
              </w:rPr>
            </w:pPr>
            <w:r>
              <w:rPr>
                <w:rFonts w:ascii="仿宋_GB2312" w:hAnsi="仿宋" w:eastAsia="仿宋_GB2312" w:cs="Times New Roman"/>
                <w:kern w:val="0"/>
                <w:sz w:val="24"/>
                <w:szCs w:val="24"/>
                <w:highlight w:val="none"/>
              </w:rPr>
              <w:t>31,456.06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549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eastAsia="仿宋_GB2312"/>
                <w:color w:val="0D0D0D"/>
                <w:sz w:val="24"/>
                <w:szCs w:val="24"/>
                <w:highlight w:val="none"/>
              </w:rPr>
            </w:pPr>
            <w:r>
              <w:rPr>
                <w:rFonts w:hint="eastAsia" w:ascii="仿宋_GB2312" w:eastAsia="仿宋_GB2312"/>
                <w:color w:val="0D0D0D"/>
                <w:sz w:val="24"/>
                <w:szCs w:val="24"/>
                <w:highlight w:val="none"/>
              </w:rPr>
              <w:t>核心一级资本净额</w:t>
            </w:r>
          </w:p>
        </w:tc>
        <w:tc>
          <w:tcPr>
            <w:tcW w:w="3124"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kern w:val="0"/>
                <w:sz w:val="24"/>
                <w:szCs w:val="24"/>
                <w:highlight w:val="none"/>
              </w:rPr>
            </w:pPr>
            <w:r>
              <w:rPr>
                <w:rFonts w:ascii="仿宋_GB2312" w:hAnsi="仿宋" w:eastAsia="仿宋_GB2312" w:cs="Times New Roman"/>
                <w:kern w:val="0"/>
                <w:sz w:val="24"/>
                <w:szCs w:val="24"/>
                <w:highlight w:val="none"/>
              </w:rPr>
              <w:t>31,456.06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549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eastAsia="仿宋_GB2312"/>
                <w:color w:val="0D0D0D"/>
                <w:sz w:val="24"/>
                <w:szCs w:val="24"/>
                <w:highlight w:val="none"/>
              </w:rPr>
            </w:pPr>
            <w:r>
              <w:rPr>
                <w:rFonts w:hint="eastAsia" w:ascii="仿宋_GB2312" w:eastAsia="仿宋_GB2312"/>
                <w:color w:val="0D0D0D"/>
                <w:sz w:val="24"/>
                <w:szCs w:val="24"/>
                <w:highlight w:val="none"/>
              </w:rPr>
              <w:t>一级资本净额</w:t>
            </w:r>
          </w:p>
        </w:tc>
        <w:tc>
          <w:tcPr>
            <w:tcW w:w="3124"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kern w:val="0"/>
                <w:sz w:val="24"/>
                <w:szCs w:val="24"/>
                <w:highlight w:val="none"/>
              </w:rPr>
            </w:pPr>
            <w:r>
              <w:rPr>
                <w:rFonts w:ascii="仿宋_GB2312" w:hAnsi="仿宋" w:eastAsia="仿宋_GB2312" w:cs="Times New Roman"/>
                <w:kern w:val="0"/>
                <w:sz w:val="24"/>
                <w:szCs w:val="24"/>
                <w:highlight w:val="none"/>
              </w:rPr>
              <w:t>31,456.06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549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eastAsia="仿宋_GB2312"/>
                <w:color w:val="0D0D0D"/>
                <w:sz w:val="24"/>
                <w:szCs w:val="24"/>
                <w:highlight w:val="none"/>
              </w:rPr>
            </w:pPr>
            <w:r>
              <w:rPr>
                <w:rFonts w:hint="eastAsia" w:ascii="仿宋_GB2312" w:eastAsia="仿宋_GB2312"/>
                <w:color w:val="0D0D0D"/>
                <w:sz w:val="24"/>
                <w:szCs w:val="24"/>
                <w:highlight w:val="none"/>
              </w:rPr>
              <w:t>二级资本</w:t>
            </w:r>
          </w:p>
        </w:tc>
        <w:tc>
          <w:tcPr>
            <w:tcW w:w="3124"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kern w:val="0"/>
                <w:sz w:val="24"/>
                <w:szCs w:val="24"/>
                <w:highlight w:val="none"/>
              </w:rPr>
            </w:pPr>
            <w:r>
              <w:rPr>
                <w:rFonts w:ascii="仿宋_GB2312" w:hAnsi="仿宋" w:eastAsia="仿宋_GB2312" w:cs="Times New Roman"/>
                <w:kern w:val="0"/>
                <w:sz w:val="24"/>
                <w:szCs w:val="24"/>
                <w:highlight w:val="none"/>
              </w:rPr>
              <w:t>1,</w:t>
            </w:r>
            <w:r>
              <w:rPr>
                <w:rFonts w:hint="eastAsia" w:ascii="仿宋_GB2312" w:hAnsi="仿宋" w:eastAsia="仿宋_GB2312" w:cs="Times New Roman"/>
                <w:kern w:val="0"/>
                <w:sz w:val="24"/>
                <w:szCs w:val="24"/>
                <w:highlight w:val="none"/>
              </w:rPr>
              <w:t>927</w:t>
            </w:r>
            <w:r>
              <w:rPr>
                <w:rFonts w:ascii="仿宋_GB2312" w:hAnsi="仿宋" w:eastAsia="仿宋_GB2312" w:cs="Times New Roman"/>
                <w:kern w:val="0"/>
                <w:sz w:val="24"/>
                <w:szCs w:val="24"/>
                <w:highlight w:val="none"/>
              </w:rPr>
              <w:t>.</w:t>
            </w:r>
            <w:r>
              <w:rPr>
                <w:rFonts w:hint="eastAsia" w:ascii="仿宋_GB2312" w:hAnsi="仿宋" w:eastAsia="仿宋_GB2312" w:cs="Times New Roman"/>
                <w:kern w:val="0"/>
                <w:sz w:val="24"/>
                <w:szCs w:val="24"/>
                <w:highlight w:val="none"/>
              </w:rPr>
              <w:t>3</w:t>
            </w:r>
            <w:r>
              <w:rPr>
                <w:rFonts w:ascii="仿宋_GB2312" w:hAnsi="仿宋" w:eastAsia="仿宋_GB2312" w:cs="Times New Roman"/>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5495"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eastAsia="仿宋_GB2312"/>
                <w:color w:val="0D0D0D"/>
                <w:sz w:val="24"/>
                <w:szCs w:val="24"/>
                <w:highlight w:val="none"/>
              </w:rPr>
            </w:pPr>
            <w:r>
              <w:rPr>
                <w:rFonts w:hint="eastAsia" w:ascii="仿宋_GB2312" w:eastAsia="仿宋_GB2312"/>
                <w:color w:val="0D0D0D"/>
                <w:sz w:val="24"/>
                <w:szCs w:val="24"/>
                <w:highlight w:val="none"/>
              </w:rPr>
              <w:t>资本净额</w:t>
            </w:r>
          </w:p>
        </w:tc>
        <w:tc>
          <w:tcPr>
            <w:tcW w:w="3124"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kern w:val="0"/>
                <w:sz w:val="24"/>
                <w:szCs w:val="24"/>
                <w:highlight w:val="none"/>
              </w:rPr>
            </w:pPr>
            <w:r>
              <w:rPr>
                <w:rFonts w:ascii="仿宋_GB2312" w:hAnsi="仿宋" w:eastAsia="仿宋_GB2312" w:cs="Times New Roman"/>
                <w:kern w:val="0"/>
                <w:sz w:val="24"/>
                <w:szCs w:val="24"/>
                <w:highlight w:val="none"/>
              </w:rPr>
              <w:t>33,383.38</w:t>
            </w:r>
          </w:p>
        </w:tc>
      </w:tr>
    </w:tbl>
    <w:p>
      <w:pPr>
        <w:spacing w:line="560" w:lineRule="exact"/>
        <w:ind w:firstLine="640" w:firstLineChars="200"/>
        <w:jc w:val="left"/>
        <w:rPr>
          <w:rFonts w:ascii="黑体" w:hAnsi="黑体" w:eastAsia="黑体" w:cs="黑体"/>
          <w:sz w:val="32"/>
          <w:szCs w:val="32"/>
          <w:highlight w:val="none"/>
        </w:rPr>
      </w:pPr>
      <w:r>
        <w:rPr>
          <w:rFonts w:hint="eastAsia" w:ascii="黑体" w:hAnsi="黑体" w:eastAsia="黑体" w:cs="黑体"/>
          <w:sz w:val="32"/>
          <w:szCs w:val="32"/>
          <w:highlight w:val="none"/>
        </w:rPr>
        <w:t>四、公司治理情况</w:t>
      </w:r>
    </w:p>
    <w:p>
      <w:pPr>
        <w:spacing w:line="560" w:lineRule="exact"/>
        <w:ind w:firstLine="643" w:firstLineChars="200"/>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（一）实际控制人及其控制本公司的情况</w:t>
      </w:r>
    </w:p>
    <w:p>
      <w:pPr>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浙江柯桥联合村镇银行股份有限公司的实际控制人为杭州联合农村商业银行股份有限公司，简称“杭州联合银行”，持本行股份8000万股，股份占比40%。</w:t>
      </w:r>
    </w:p>
    <w:p>
      <w:pPr>
        <w:spacing w:line="560" w:lineRule="exact"/>
        <w:ind w:firstLine="643" w:firstLineChars="200"/>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（二）公司治理情况整体评价</w:t>
      </w:r>
    </w:p>
    <w:p>
      <w:pPr>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本行遵照国家法律法规和公司章程，建立了以股东大会、董事会、监事会和高级管理层等为主体的公司治理组织架构，股东大会、董事会、监事会等“三会”制定了议事规则和决策程序，并能够据此召开定期会议及不定期的临时会议。董事会下设风险合规委员会、薪酬与考核委员会、消费者权益保护工作委员会、关联交易控制委员会等；高级管理层下设资产负债管理委员会、财务审批管理委员会、薪酬管理委员会、贷款审查委员会等专门委员会以及反洗钱领导小组、内审工作领导小组等专项工作领导小组。本行章程明确了党委在法人治理中的地位，并将党委研究讨论作为董事会、高级管理层决策重大问题的前置程序。本行法人治理结构基本体现了独立运作、有效制衡、相互合作、协调运转的原则。</w:t>
      </w:r>
    </w:p>
    <w:p>
      <w:pPr>
        <w:spacing w:line="560" w:lineRule="exact"/>
        <w:ind w:firstLine="643" w:firstLineChars="200"/>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lang w:eastAsia="zh-CN"/>
        </w:rPr>
        <w:t>三</w:t>
      </w:r>
      <w:r>
        <w:rPr>
          <w:rFonts w:hint="eastAsia" w:ascii="楷体_GB2312" w:hAnsi="楷体_GB2312" w:eastAsia="楷体_GB2312" w:cs="楷体_GB2312"/>
          <w:b/>
          <w:bCs/>
          <w:sz w:val="32"/>
          <w:szCs w:val="32"/>
          <w:highlight w:val="none"/>
        </w:rPr>
        <w:t>）股东大会</w:t>
      </w:r>
    </w:p>
    <w:p>
      <w:pPr>
        <w:spacing w:line="560" w:lineRule="exact"/>
        <w:ind w:firstLine="643" w:firstLineChars="200"/>
        <w:rPr>
          <w:rFonts w:ascii="仿宋_GB2312" w:hAnsi="仿宋" w:eastAsia="仿宋_GB2312"/>
          <w:b/>
          <w:bCs/>
          <w:sz w:val="32"/>
          <w:szCs w:val="32"/>
          <w:highlight w:val="none"/>
        </w:rPr>
      </w:pPr>
      <w:r>
        <w:rPr>
          <w:rFonts w:hint="eastAsia" w:ascii="仿宋_GB2312" w:hAnsi="仿宋" w:eastAsia="仿宋_GB2312"/>
          <w:b/>
          <w:bCs/>
          <w:sz w:val="32"/>
          <w:szCs w:val="32"/>
          <w:highlight w:val="none"/>
        </w:rPr>
        <w:t>1、股东大会职权</w:t>
      </w:r>
    </w:p>
    <w:p>
      <w:pPr>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股东大会是本行的权利机构，由全体股东组成。股东大会主要负责制定章程，选举和更换董事、股东监事、外部监事，决定全行发展规划和经营方针，审议批准董事会、监事会报告，审议批准年度财务预决算方案、利润分配方案、重大股权投资、重大事项。</w:t>
      </w:r>
    </w:p>
    <w:p>
      <w:pPr>
        <w:spacing w:line="560" w:lineRule="exact"/>
        <w:ind w:firstLine="643" w:firstLineChars="200"/>
        <w:rPr>
          <w:rFonts w:ascii="仿宋_GB2312" w:hAnsi="仿宋" w:eastAsia="仿宋_GB2312"/>
          <w:b/>
          <w:bCs/>
          <w:sz w:val="32"/>
          <w:szCs w:val="32"/>
          <w:highlight w:val="none"/>
        </w:rPr>
      </w:pPr>
      <w:r>
        <w:rPr>
          <w:rFonts w:hint="eastAsia" w:ascii="仿宋_GB2312" w:hAnsi="仿宋" w:eastAsia="仿宋_GB2312"/>
          <w:b/>
          <w:bCs/>
          <w:sz w:val="32"/>
          <w:szCs w:val="32"/>
          <w:highlight w:val="none"/>
        </w:rPr>
        <w:t>2、股东大会召开情况</w:t>
      </w:r>
    </w:p>
    <w:p>
      <w:pPr>
        <w:spacing w:line="560" w:lineRule="exact"/>
        <w:ind w:firstLine="640" w:firstLineChars="200"/>
        <w:rPr>
          <w:rFonts w:ascii="仿宋_GB2312" w:hAnsi="仿宋" w:eastAsia="仿宋_GB2312"/>
          <w:sz w:val="32"/>
          <w:szCs w:val="32"/>
          <w:highlight w:val="none"/>
        </w:rPr>
      </w:pPr>
      <w:r>
        <w:rPr>
          <w:rFonts w:ascii="仿宋_GB2312" w:hAnsi="仿宋" w:eastAsia="仿宋_GB2312"/>
          <w:sz w:val="32"/>
          <w:szCs w:val="32"/>
          <w:highlight w:val="none"/>
        </w:rPr>
        <w:t>报告期内，</w:t>
      </w:r>
      <w:r>
        <w:rPr>
          <w:rFonts w:hint="eastAsia" w:ascii="仿宋_GB2312" w:hAnsi="仿宋" w:eastAsia="仿宋_GB2312"/>
          <w:sz w:val="32"/>
          <w:szCs w:val="32"/>
          <w:highlight w:val="none"/>
        </w:rPr>
        <w:t>本行</w:t>
      </w:r>
      <w:r>
        <w:rPr>
          <w:rFonts w:ascii="仿宋_GB2312" w:hAnsi="仿宋" w:eastAsia="仿宋_GB2312"/>
          <w:sz w:val="32"/>
          <w:szCs w:val="32"/>
          <w:highlight w:val="none"/>
        </w:rPr>
        <w:t>共召开2次股东大会，其中正式股东大会1次，临时股东大会1次，</w:t>
      </w:r>
      <w:r>
        <w:rPr>
          <w:rFonts w:hint="eastAsia" w:ascii="仿宋_GB2312" w:hAnsi="仿宋" w:eastAsia="仿宋_GB2312"/>
          <w:sz w:val="32"/>
          <w:szCs w:val="32"/>
          <w:highlight w:val="none"/>
        </w:rPr>
        <w:t>共就</w:t>
      </w:r>
      <w:r>
        <w:rPr>
          <w:rFonts w:ascii="仿宋_GB2312" w:hAnsi="仿宋" w:eastAsia="仿宋_GB2312"/>
          <w:sz w:val="32"/>
          <w:szCs w:val="32"/>
          <w:highlight w:val="none"/>
        </w:rPr>
        <w:t>19项</w:t>
      </w:r>
      <w:r>
        <w:rPr>
          <w:rFonts w:hint="eastAsia" w:ascii="仿宋_GB2312" w:hAnsi="仿宋" w:eastAsia="仿宋_GB2312"/>
          <w:sz w:val="32"/>
          <w:szCs w:val="32"/>
          <w:highlight w:val="none"/>
        </w:rPr>
        <w:t>议题进行表决</w:t>
      </w:r>
      <w:r>
        <w:rPr>
          <w:rFonts w:ascii="仿宋_GB2312" w:hAnsi="仿宋" w:eastAsia="仿宋_GB2312"/>
          <w:sz w:val="32"/>
          <w:szCs w:val="32"/>
          <w:highlight w:val="none"/>
        </w:rPr>
        <w:t>。</w:t>
      </w:r>
    </w:p>
    <w:p>
      <w:pPr>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2022年4月，本行在绍兴铭汇大酒店召开2021年度股东大会，出席本次大会的股东和委托代理人共计11人，代表股份20000万股，占股份总额100%。大会就上年度董、监事会工作情况、董监事履职情况进行报告，就本行利润分配、财务预算等事项进行了审议。上述11项议题均获得通过。</w:t>
      </w:r>
    </w:p>
    <w:p>
      <w:pPr>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2023年1月16日，本行在柯桥联合村镇银行召开2022年第一次临时股东大会，出席本次大会的股东和委托代理人共计11人，代表股份20000万股，占股份总额100%。大会就股东大会、董监事会议事规则、股份管理办法等事项进行了审议。上述8项议题均获得通过。</w:t>
      </w:r>
    </w:p>
    <w:p>
      <w:pPr>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浙江越光律师事务所委派律师全程见证以上两次会议。股东大会的召集、召开、出席股东大会人员资格、审议内容、表决程序及表决结果均符合《公司法》、本行《章程》及相关法律法规规定，会议召开及表决有效。</w:t>
      </w:r>
    </w:p>
    <w:p>
      <w:pPr>
        <w:spacing w:line="560" w:lineRule="exact"/>
        <w:ind w:firstLine="643" w:firstLineChars="200"/>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lang w:eastAsia="zh-CN"/>
        </w:rPr>
        <w:t>四</w:t>
      </w:r>
      <w:r>
        <w:rPr>
          <w:rFonts w:hint="eastAsia" w:ascii="楷体_GB2312" w:hAnsi="楷体_GB2312" w:eastAsia="楷体_GB2312" w:cs="楷体_GB2312"/>
          <w:b/>
          <w:bCs/>
          <w:sz w:val="32"/>
          <w:szCs w:val="32"/>
          <w:highlight w:val="none"/>
        </w:rPr>
        <w:t>）董事会</w:t>
      </w:r>
    </w:p>
    <w:p>
      <w:pPr>
        <w:spacing w:line="560" w:lineRule="exact"/>
        <w:ind w:firstLine="643" w:firstLineChars="200"/>
        <w:rPr>
          <w:rFonts w:ascii="仿宋_GB2312" w:hAnsi="仿宋" w:eastAsia="仿宋_GB2312"/>
          <w:b/>
          <w:bCs/>
          <w:sz w:val="32"/>
          <w:szCs w:val="32"/>
          <w:highlight w:val="none"/>
        </w:rPr>
      </w:pPr>
      <w:r>
        <w:rPr>
          <w:rFonts w:hint="eastAsia" w:ascii="仿宋_GB2312" w:hAnsi="仿宋" w:eastAsia="仿宋_GB2312"/>
          <w:b/>
          <w:bCs/>
          <w:sz w:val="32"/>
          <w:szCs w:val="32"/>
          <w:highlight w:val="none"/>
        </w:rPr>
        <w:t>1、董事会职权</w:t>
      </w:r>
    </w:p>
    <w:p>
      <w:pPr>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董事会是股东大会的执行机构和本行的经营决策机构，对股东大会负责。董事会成员有股东大会选举产生。董事会主要负责召集股东大会并向其报告工作，制定中长期发展规划和发展战略，决定年度经营考核指标，选举董事长，聘任行长、副行长等高级管理层成员，决定得内部管理机构和分支机构设置，制定基本管理制度。</w:t>
      </w:r>
    </w:p>
    <w:p>
      <w:pPr>
        <w:spacing w:line="560" w:lineRule="exact"/>
        <w:ind w:firstLine="643" w:firstLineChars="200"/>
        <w:rPr>
          <w:rFonts w:ascii="仿宋_GB2312" w:hAnsi="仿宋" w:eastAsia="仿宋_GB2312"/>
          <w:b/>
          <w:bCs/>
          <w:sz w:val="32"/>
          <w:szCs w:val="32"/>
          <w:highlight w:val="none"/>
        </w:rPr>
      </w:pPr>
      <w:r>
        <w:rPr>
          <w:rFonts w:hint="eastAsia" w:ascii="仿宋_GB2312" w:hAnsi="仿宋" w:eastAsia="仿宋_GB2312"/>
          <w:b/>
          <w:bCs/>
          <w:sz w:val="32"/>
          <w:szCs w:val="32"/>
          <w:highlight w:val="none"/>
        </w:rPr>
        <w:t>2、董事会成员基本情况</w:t>
      </w:r>
    </w:p>
    <w:p>
      <w:pPr>
        <w:spacing w:line="560" w:lineRule="exact"/>
        <w:ind w:firstLine="640" w:firstLineChars="200"/>
        <w:rPr>
          <w:rFonts w:ascii="楷体_GB2312" w:hAnsi="楷体_GB2312" w:eastAsia="楷体_GB2312" w:cs="楷体_GB2312"/>
          <w:b/>
          <w:bCs/>
          <w:sz w:val="32"/>
          <w:szCs w:val="32"/>
          <w:highlight w:val="none"/>
        </w:rPr>
      </w:pPr>
      <w:r>
        <w:rPr>
          <w:rFonts w:hint="eastAsia" w:ascii="仿宋_GB2312" w:hAnsi="仿宋" w:eastAsia="仿宋_GB2312"/>
          <w:sz w:val="32"/>
          <w:szCs w:val="32"/>
          <w:highlight w:val="none"/>
        </w:rPr>
        <w:t>本行董事会由5名成员组成，列表如下：</w:t>
      </w:r>
    </w:p>
    <w:tbl>
      <w:tblPr>
        <w:tblStyle w:val="11"/>
        <w:tblW w:w="5174"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5"/>
        <w:gridCol w:w="963"/>
        <w:gridCol w:w="672"/>
        <w:gridCol w:w="1617"/>
        <w:gridCol w:w="3942"/>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blCellSpacing w:w="0" w:type="dxa"/>
          <w:jc w:val="center"/>
        </w:trPr>
        <w:tc>
          <w:tcPr>
            <w:tcW w:w="493" w:type="pct"/>
            <w:noWrap/>
            <w:vAlign w:val="center"/>
          </w:tcPr>
          <w:p>
            <w:pPr>
              <w:widowControl/>
              <w:spacing w:line="400" w:lineRule="exact"/>
              <w:jc w:val="center"/>
              <w:rPr>
                <w:rFonts w:ascii="仿宋_GB2312" w:hAnsi="仿宋_GB2312" w:eastAsia="仿宋_GB2312" w:cs="仿宋_GB2312"/>
                <w:b/>
                <w:color w:val="000000"/>
                <w:kern w:val="0"/>
                <w:sz w:val="24"/>
                <w:szCs w:val="24"/>
                <w:highlight w:val="none"/>
              </w:rPr>
            </w:pPr>
            <w:r>
              <w:rPr>
                <w:rFonts w:hint="eastAsia" w:ascii="仿宋_GB2312" w:hAnsi="仿宋_GB2312" w:eastAsia="仿宋_GB2312" w:cs="仿宋_GB2312"/>
                <w:b/>
                <w:color w:val="000000"/>
                <w:kern w:val="0"/>
                <w:sz w:val="24"/>
                <w:szCs w:val="24"/>
                <w:highlight w:val="none"/>
              </w:rPr>
              <w:t>职务</w:t>
            </w:r>
          </w:p>
        </w:tc>
        <w:tc>
          <w:tcPr>
            <w:tcW w:w="524" w:type="pct"/>
            <w:noWrap/>
            <w:vAlign w:val="center"/>
          </w:tcPr>
          <w:p>
            <w:pPr>
              <w:widowControl/>
              <w:spacing w:line="400" w:lineRule="exact"/>
              <w:jc w:val="center"/>
              <w:rPr>
                <w:rFonts w:ascii="仿宋_GB2312" w:hAnsi="仿宋_GB2312" w:eastAsia="仿宋_GB2312" w:cs="仿宋_GB2312"/>
                <w:b/>
                <w:color w:val="000000"/>
                <w:kern w:val="0"/>
                <w:sz w:val="24"/>
                <w:szCs w:val="24"/>
                <w:highlight w:val="none"/>
              </w:rPr>
            </w:pPr>
            <w:r>
              <w:rPr>
                <w:rFonts w:hint="eastAsia" w:ascii="仿宋_GB2312" w:hAnsi="仿宋_GB2312" w:eastAsia="仿宋_GB2312" w:cs="仿宋_GB2312"/>
                <w:b/>
                <w:color w:val="000000"/>
                <w:kern w:val="0"/>
                <w:sz w:val="24"/>
                <w:szCs w:val="24"/>
                <w:highlight w:val="none"/>
              </w:rPr>
              <w:t>姓名</w:t>
            </w:r>
          </w:p>
        </w:tc>
        <w:tc>
          <w:tcPr>
            <w:tcW w:w="366" w:type="pct"/>
            <w:noWrap/>
            <w:vAlign w:val="center"/>
          </w:tcPr>
          <w:p>
            <w:pPr>
              <w:widowControl/>
              <w:spacing w:line="400" w:lineRule="exact"/>
              <w:jc w:val="center"/>
              <w:rPr>
                <w:rFonts w:ascii="仿宋_GB2312" w:hAnsi="仿宋_GB2312" w:eastAsia="仿宋_GB2312" w:cs="仿宋_GB2312"/>
                <w:b/>
                <w:color w:val="000000"/>
                <w:kern w:val="0"/>
                <w:sz w:val="24"/>
                <w:szCs w:val="24"/>
                <w:highlight w:val="none"/>
              </w:rPr>
            </w:pPr>
            <w:r>
              <w:rPr>
                <w:rFonts w:hint="eastAsia" w:ascii="仿宋_GB2312" w:hAnsi="仿宋_GB2312" w:eastAsia="仿宋_GB2312" w:cs="仿宋_GB2312"/>
                <w:b/>
                <w:color w:val="000000"/>
                <w:kern w:val="0"/>
                <w:sz w:val="24"/>
                <w:szCs w:val="24"/>
                <w:highlight w:val="none"/>
              </w:rPr>
              <w:t>性别</w:t>
            </w:r>
          </w:p>
        </w:tc>
        <w:tc>
          <w:tcPr>
            <w:tcW w:w="881" w:type="pct"/>
            <w:noWrap/>
            <w:vAlign w:val="center"/>
          </w:tcPr>
          <w:p>
            <w:pPr>
              <w:widowControl/>
              <w:spacing w:line="400" w:lineRule="exact"/>
              <w:jc w:val="center"/>
              <w:rPr>
                <w:rFonts w:ascii="仿宋_GB2312" w:hAnsi="仿宋_GB2312" w:eastAsia="仿宋_GB2312" w:cs="仿宋_GB2312"/>
                <w:b/>
                <w:color w:val="000000"/>
                <w:kern w:val="0"/>
                <w:sz w:val="24"/>
                <w:szCs w:val="24"/>
                <w:highlight w:val="none"/>
              </w:rPr>
            </w:pPr>
            <w:r>
              <w:rPr>
                <w:rFonts w:hint="eastAsia" w:ascii="仿宋_GB2312" w:hAnsi="仿宋_GB2312" w:eastAsia="仿宋_GB2312" w:cs="仿宋_GB2312"/>
                <w:b/>
                <w:color w:val="000000"/>
                <w:kern w:val="0"/>
                <w:sz w:val="24"/>
                <w:szCs w:val="24"/>
                <w:highlight w:val="none"/>
              </w:rPr>
              <w:t>出生年月</w:t>
            </w:r>
          </w:p>
        </w:tc>
        <w:tc>
          <w:tcPr>
            <w:tcW w:w="2148" w:type="pct"/>
            <w:noWrap/>
            <w:vAlign w:val="center"/>
          </w:tcPr>
          <w:p>
            <w:pPr>
              <w:widowControl/>
              <w:spacing w:line="400" w:lineRule="exact"/>
              <w:jc w:val="center"/>
              <w:rPr>
                <w:rFonts w:ascii="仿宋_GB2312" w:hAnsi="仿宋_GB2312" w:eastAsia="仿宋_GB2312" w:cs="仿宋_GB2312"/>
                <w:b/>
                <w:color w:val="000000"/>
                <w:kern w:val="0"/>
                <w:sz w:val="24"/>
                <w:szCs w:val="24"/>
                <w:highlight w:val="none"/>
              </w:rPr>
            </w:pPr>
            <w:r>
              <w:rPr>
                <w:rFonts w:hint="eastAsia" w:ascii="仿宋_GB2312" w:hAnsi="仿宋_GB2312" w:eastAsia="仿宋_GB2312" w:cs="仿宋_GB2312"/>
                <w:b/>
                <w:color w:val="000000"/>
                <w:kern w:val="0"/>
                <w:sz w:val="24"/>
                <w:szCs w:val="24"/>
                <w:highlight w:val="none"/>
              </w:rPr>
              <w:t>任职单位</w:t>
            </w:r>
          </w:p>
        </w:tc>
        <w:tc>
          <w:tcPr>
            <w:tcW w:w="586" w:type="pct"/>
            <w:noWrap/>
            <w:vAlign w:val="center"/>
          </w:tcPr>
          <w:p>
            <w:pPr>
              <w:widowControl/>
              <w:adjustRightInd w:val="0"/>
              <w:snapToGrid w:val="0"/>
              <w:spacing w:line="400" w:lineRule="exact"/>
              <w:jc w:val="center"/>
              <w:rPr>
                <w:rFonts w:ascii="仿宋_GB2312" w:hAnsi="仿宋_GB2312" w:eastAsia="仿宋_GB2312" w:cs="仿宋_GB2312"/>
                <w:b/>
                <w:bCs/>
                <w:kern w:val="0"/>
                <w:sz w:val="24"/>
                <w:szCs w:val="24"/>
                <w:highlight w:val="none"/>
              </w:rPr>
            </w:pPr>
            <w:r>
              <w:rPr>
                <w:rFonts w:hint="eastAsia" w:ascii="仿宋_GB2312" w:hAnsi="仿宋_GB2312" w:eastAsia="仿宋_GB2312" w:cs="仿宋_GB2312"/>
                <w:b/>
                <w:kern w:val="0"/>
                <w:sz w:val="24"/>
                <w:szCs w:val="24"/>
                <w:highlight w:val="none"/>
              </w:rPr>
              <w:t>是否在职董事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tblCellSpacing w:w="0" w:type="dxa"/>
          <w:jc w:val="center"/>
        </w:trPr>
        <w:tc>
          <w:tcPr>
            <w:tcW w:w="493" w:type="pct"/>
            <w:noWrap/>
            <w:vAlign w:val="center"/>
          </w:tcPr>
          <w:p>
            <w:pPr>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董事长</w:t>
            </w:r>
          </w:p>
        </w:tc>
        <w:tc>
          <w:tcPr>
            <w:tcW w:w="524" w:type="pct"/>
            <w:noWrap/>
            <w:vAlign w:val="center"/>
          </w:tcPr>
          <w:p>
            <w:pPr>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周荣华</w:t>
            </w:r>
          </w:p>
        </w:tc>
        <w:tc>
          <w:tcPr>
            <w:tcW w:w="366" w:type="pct"/>
            <w:noWrap/>
            <w:vAlign w:val="center"/>
          </w:tcPr>
          <w:p>
            <w:pPr>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男</w:t>
            </w:r>
          </w:p>
        </w:tc>
        <w:tc>
          <w:tcPr>
            <w:tcW w:w="881" w:type="pct"/>
            <w:noWrap/>
            <w:vAlign w:val="center"/>
          </w:tcPr>
          <w:p>
            <w:pPr>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1973年11月</w:t>
            </w:r>
          </w:p>
        </w:tc>
        <w:tc>
          <w:tcPr>
            <w:tcW w:w="2148" w:type="pct"/>
            <w:noWrap/>
            <w:vAlign w:val="center"/>
          </w:tcPr>
          <w:p>
            <w:pPr>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浙江柯桥联合村镇银行股份有限公司</w:t>
            </w:r>
          </w:p>
        </w:tc>
        <w:tc>
          <w:tcPr>
            <w:tcW w:w="586" w:type="pct"/>
            <w:noWrap/>
            <w:vAlign w:val="center"/>
          </w:tcPr>
          <w:p>
            <w:pPr>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tblCellSpacing w:w="0" w:type="dxa"/>
          <w:jc w:val="center"/>
        </w:trPr>
        <w:tc>
          <w:tcPr>
            <w:tcW w:w="493" w:type="pct"/>
            <w:noWrap/>
            <w:vAlign w:val="center"/>
          </w:tcPr>
          <w:p>
            <w:pPr>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董事</w:t>
            </w:r>
          </w:p>
        </w:tc>
        <w:tc>
          <w:tcPr>
            <w:tcW w:w="524" w:type="pct"/>
            <w:noWrap/>
            <w:vAlign w:val="center"/>
          </w:tcPr>
          <w:p>
            <w:pPr>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高安良</w:t>
            </w:r>
          </w:p>
        </w:tc>
        <w:tc>
          <w:tcPr>
            <w:tcW w:w="366" w:type="pct"/>
            <w:noWrap/>
            <w:vAlign w:val="center"/>
          </w:tcPr>
          <w:p>
            <w:pPr>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男</w:t>
            </w:r>
          </w:p>
        </w:tc>
        <w:tc>
          <w:tcPr>
            <w:tcW w:w="881" w:type="pct"/>
            <w:noWrap/>
            <w:vAlign w:val="center"/>
          </w:tcPr>
          <w:p>
            <w:pPr>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1965年10月</w:t>
            </w:r>
          </w:p>
        </w:tc>
        <w:tc>
          <w:tcPr>
            <w:tcW w:w="2148" w:type="pct"/>
            <w:noWrap/>
            <w:vAlign w:val="center"/>
          </w:tcPr>
          <w:p>
            <w:pPr>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绍兴柯桥同策纺织有限公司</w:t>
            </w:r>
          </w:p>
        </w:tc>
        <w:tc>
          <w:tcPr>
            <w:tcW w:w="586" w:type="pct"/>
            <w:noWrap/>
            <w:vAlign w:val="center"/>
          </w:tcPr>
          <w:p>
            <w:pPr>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tblCellSpacing w:w="0" w:type="dxa"/>
          <w:jc w:val="center"/>
        </w:trPr>
        <w:tc>
          <w:tcPr>
            <w:tcW w:w="493" w:type="pct"/>
            <w:noWrap/>
            <w:vAlign w:val="center"/>
          </w:tcPr>
          <w:p>
            <w:pPr>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董事</w:t>
            </w:r>
          </w:p>
        </w:tc>
        <w:tc>
          <w:tcPr>
            <w:tcW w:w="524" w:type="pct"/>
            <w:noWrap/>
            <w:vAlign w:val="center"/>
          </w:tcPr>
          <w:p>
            <w:pPr>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吕柏仁</w:t>
            </w:r>
          </w:p>
        </w:tc>
        <w:tc>
          <w:tcPr>
            <w:tcW w:w="366" w:type="pct"/>
            <w:noWrap/>
            <w:vAlign w:val="center"/>
          </w:tcPr>
          <w:p>
            <w:pPr>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男</w:t>
            </w:r>
          </w:p>
        </w:tc>
        <w:tc>
          <w:tcPr>
            <w:tcW w:w="881" w:type="pct"/>
            <w:noWrap/>
            <w:vAlign w:val="center"/>
          </w:tcPr>
          <w:p>
            <w:pPr>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1967年12月</w:t>
            </w:r>
          </w:p>
        </w:tc>
        <w:tc>
          <w:tcPr>
            <w:tcW w:w="2148" w:type="pct"/>
            <w:noWrap/>
            <w:vAlign w:val="center"/>
          </w:tcPr>
          <w:p>
            <w:pPr>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浙江健然物资有限公司</w:t>
            </w:r>
          </w:p>
        </w:tc>
        <w:tc>
          <w:tcPr>
            <w:tcW w:w="586" w:type="pct"/>
            <w:noWrap/>
            <w:vAlign w:val="center"/>
          </w:tcPr>
          <w:p>
            <w:pPr>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tblCellSpacing w:w="0" w:type="dxa"/>
          <w:jc w:val="center"/>
        </w:trPr>
        <w:tc>
          <w:tcPr>
            <w:tcW w:w="493" w:type="pct"/>
            <w:noWrap/>
            <w:vAlign w:val="center"/>
          </w:tcPr>
          <w:p>
            <w:pPr>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董事</w:t>
            </w:r>
          </w:p>
        </w:tc>
        <w:tc>
          <w:tcPr>
            <w:tcW w:w="524" w:type="pct"/>
            <w:noWrap/>
            <w:vAlign w:val="center"/>
          </w:tcPr>
          <w:p>
            <w:pPr>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叶少康</w:t>
            </w:r>
          </w:p>
        </w:tc>
        <w:tc>
          <w:tcPr>
            <w:tcW w:w="366" w:type="pct"/>
            <w:noWrap/>
            <w:vAlign w:val="center"/>
          </w:tcPr>
          <w:p>
            <w:pPr>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男</w:t>
            </w:r>
          </w:p>
        </w:tc>
        <w:tc>
          <w:tcPr>
            <w:tcW w:w="881" w:type="pct"/>
            <w:noWrap/>
            <w:vAlign w:val="center"/>
          </w:tcPr>
          <w:p>
            <w:pPr>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1965年8月</w:t>
            </w:r>
          </w:p>
        </w:tc>
        <w:tc>
          <w:tcPr>
            <w:tcW w:w="2148" w:type="pct"/>
            <w:noWrap/>
            <w:vAlign w:val="center"/>
          </w:tcPr>
          <w:p>
            <w:pPr>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杭州联合农村商业银行股份有限公司</w:t>
            </w:r>
          </w:p>
        </w:tc>
        <w:tc>
          <w:tcPr>
            <w:tcW w:w="586" w:type="pct"/>
            <w:noWrap/>
            <w:vAlign w:val="center"/>
          </w:tcPr>
          <w:p>
            <w:pPr>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blCellSpacing w:w="0" w:type="dxa"/>
          <w:jc w:val="center"/>
        </w:trPr>
        <w:tc>
          <w:tcPr>
            <w:tcW w:w="493" w:type="pct"/>
            <w:noWrap/>
            <w:vAlign w:val="center"/>
          </w:tcPr>
          <w:p>
            <w:pPr>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董事</w:t>
            </w:r>
          </w:p>
        </w:tc>
        <w:tc>
          <w:tcPr>
            <w:tcW w:w="524" w:type="pct"/>
            <w:noWrap/>
            <w:vAlign w:val="center"/>
          </w:tcPr>
          <w:p>
            <w:pPr>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吴丹</w:t>
            </w:r>
          </w:p>
        </w:tc>
        <w:tc>
          <w:tcPr>
            <w:tcW w:w="366" w:type="pct"/>
            <w:noWrap/>
            <w:vAlign w:val="center"/>
          </w:tcPr>
          <w:p>
            <w:pPr>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男</w:t>
            </w:r>
          </w:p>
        </w:tc>
        <w:tc>
          <w:tcPr>
            <w:tcW w:w="881" w:type="pct"/>
            <w:noWrap/>
            <w:vAlign w:val="center"/>
          </w:tcPr>
          <w:p>
            <w:pPr>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1984年9月</w:t>
            </w:r>
          </w:p>
        </w:tc>
        <w:tc>
          <w:tcPr>
            <w:tcW w:w="2148" w:type="pct"/>
            <w:noWrap/>
            <w:vAlign w:val="center"/>
          </w:tcPr>
          <w:p>
            <w:pPr>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杭州联合农村商业银行股份有限公司</w:t>
            </w:r>
          </w:p>
        </w:tc>
        <w:tc>
          <w:tcPr>
            <w:tcW w:w="586" w:type="pct"/>
            <w:noWrap/>
            <w:vAlign w:val="center"/>
          </w:tcPr>
          <w:p>
            <w:pPr>
              <w:spacing w:line="400" w:lineRule="exact"/>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否</w:t>
            </w:r>
          </w:p>
        </w:tc>
      </w:tr>
    </w:tbl>
    <w:p>
      <w:pPr>
        <w:spacing w:line="560" w:lineRule="exact"/>
        <w:ind w:firstLine="643" w:firstLineChars="200"/>
        <w:rPr>
          <w:rFonts w:ascii="仿宋_GB2312" w:hAnsi="仿宋" w:eastAsia="仿宋_GB2312"/>
          <w:b/>
          <w:bCs/>
          <w:sz w:val="32"/>
          <w:szCs w:val="32"/>
          <w:highlight w:val="none"/>
        </w:rPr>
      </w:pPr>
      <w:r>
        <w:rPr>
          <w:rFonts w:hint="eastAsia" w:ascii="仿宋_GB2312" w:hAnsi="仿宋" w:eastAsia="仿宋_GB2312"/>
          <w:b/>
          <w:bCs/>
          <w:sz w:val="32"/>
          <w:szCs w:val="32"/>
          <w:highlight w:val="none"/>
        </w:rPr>
        <w:t>3、董事会运作情况</w:t>
      </w:r>
    </w:p>
    <w:p>
      <w:pPr>
        <w:spacing w:line="560" w:lineRule="exact"/>
        <w:ind w:firstLine="640" w:firstLineChars="200"/>
        <w:rPr>
          <w:rFonts w:ascii="仿宋_GB2312" w:hAnsi="仿宋" w:eastAsia="仿宋_GB2312"/>
          <w:bCs/>
          <w:sz w:val="32"/>
          <w:szCs w:val="32"/>
          <w:highlight w:val="none"/>
        </w:rPr>
      </w:pPr>
      <w:r>
        <w:rPr>
          <w:rFonts w:hint="eastAsia" w:ascii="仿宋_GB2312" w:hAnsi="仿宋" w:eastAsia="仿宋_GB2312"/>
          <w:bCs/>
          <w:sz w:val="32"/>
          <w:szCs w:val="32"/>
          <w:highlight w:val="none"/>
        </w:rPr>
        <w:t>报告期内，董事会严格遵照《公司法》《商业银行法》和本行《章程》的规定，勤勉忠实地履行各项职责，先后召开了5次董事会会议，及时就业务经营工作中的重要事项进行了研究，并就章程修订、财务预算、专项审计、信息披露、网点规划、消保等46项重大事项进行了审议并做出了决议，圆满完成了各项工作。</w:t>
      </w:r>
    </w:p>
    <w:p>
      <w:pPr>
        <w:spacing w:line="560" w:lineRule="exact"/>
        <w:ind w:firstLine="643" w:firstLineChars="200"/>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lang w:eastAsia="zh-CN"/>
        </w:rPr>
        <w:t>五</w:t>
      </w:r>
      <w:r>
        <w:rPr>
          <w:rFonts w:hint="eastAsia" w:ascii="楷体_GB2312" w:hAnsi="楷体_GB2312" w:eastAsia="楷体_GB2312" w:cs="楷体_GB2312"/>
          <w:b/>
          <w:bCs/>
          <w:sz w:val="32"/>
          <w:szCs w:val="32"/>
          <w:highlight w:val="none"/>
        </w:rPr>
        <w:t>）监事会</w:t>
      </w:r>
    </w:p>
    <w:p>
      <w:pPr>
        <w:spacing w:line="560" w:lineRule="exact"/>
        <w:ind w:firstLine="643" w:firstLineChars="200"/>
        <w:rPr>
          <w:rFonts w:ascii="仿宋_GB2312" w:hAnsi="仿宋" w:eastAsia="仿宋_GB2312"/>
          <w:b/>
          <w:bCs/>
          <w:sz w:val="32"/>
          <w:szCs w:val="32"/>
          <w:highlight w:val="none"/>
        </w:rPr>
      </w:pPr>
      <w:r>
        <w:rPr>
          <w:rFonts w:hint="eastAsia" w:ascii="仿宋_GB2312" w:hAnsi="仿宋" w:eastAsia="仿宋_GB2312"/>
          <w:b/>
          <w:bCs/>
          <w:sz w:val="32"/>
          <w:szCs w:val="32"/>
          <w:highlight w:val="none"/>
        </w:rPr>
        <w:t>1、监事会职权</w:t>
      </w:r>
    </w:p>
    <w:tbl>
      <w:tblPr>
        <w:tblStyle w:val="11"/>
        <w:tblpPr w:leftFromText="180" w:rightFromText="180" w:vertAnchor="text" w:horzAnchor="page" w:tblpXSpec="center" w:tblpY="3930"/>
        <w:tblOverlap w:val="never"/>
        <w:tblW w:w="9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991"/>
        <w:gridCol w:w="763"/>
        <w:gridCol w:w="1627"/>
        <w:gridCol w:w="4119"/>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36"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400" w:lineRule="exact"/>
              <w:jc w:val="center"/>
              <w:rPr>
                <w:rFonts w:ascii="仿宋_GB2312" w:hAnsi="宋体" w:eastAsia="仿宋_GB2312" w:cs="宋体"/>
                <w:b/>
                <w:kern w:val="0"/>
                <w:sz w:val="24"/>
                <w:szCs w:val="24"/>
                <w:highlight w:val="none"/>
              </w:rPr>
            </w:pPr>
            <w:r>
              <w:rPr>
                <w:rFonts w:hint="eastAsia" w:ascii="仿宋_GB2312" w:hAnsi="宋体" w:eastAsia="仿宋_GB2312" w:cs="宋体"/>
                <w:b/>
                <w:kern w:val="0"/>
                <w:sz w:val="24"/>
                <w:szCs w:val="24"/>
                <w:highlight w:val="none"/>
              </w:rPr>
              <w:t>职务</w:t>
            </w:r>
          </w:p>
        </w:tc>
        <w:tc>
          <w:tcPr>
            <w:tcW w:w="99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400" w:lineRule="exact"/>
              <w:jc w:val="center"/>
              <w:rPr>
                <w:rFonts w:ascii="仿宋_GB2312" w:hAnsi="宋体" w:eastAsia="仿宋_GB2312" w:cs="宋体"/>
                <w:b/>
                <w:bCs/>
                <w:kern w:val="0"/>
                <w:sz w:val="24"/>
                <w:szCs w:val="24"/>
                <w:highlight w:val="none"/>
              </w:rPr>
            </w:pPr>
            <w:r>
              <w:rPr>
                <w:rFonts w:hint="eastAsia" w:ascii="仿宋_GB2312" w:hAnsi="宋体" w:eastAsia="仿宋_GB2312" w:cs="宋体"/>
                <w:b/>
                <w:kern w:val="0"/>
                <w:sz w:val="24"/>
                <w:szCs w:val="24"/>
                <w:highlight w:val="none"/>
              </w:rPr>
              <w:t>姓名</w:t>
            </w:r>
          </w:p>
        </w:tc>
        <w:tc>
          <w:tcPr>
            <w:tcW w:w="763"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400" w:lineRule="exact"/>
              <w:jc w:val="center"/>
              <w:rPr>
                <w:rFonts w:ascii="仿宋_GB2312" w:hAnsi="宋体" w:eastAsia="仿宋_GB2312" w:cs="宋体"/>
                <w:b/>
                <w:kern w:val="0"/>
                <w:sz w:val="24"/>
                <w:szCs w:val="24"/>
                <w:highlight w:val="none"/>
              </w:rPr>
            </w:pPr>
            <w:r>
              <w:rPr>
                <w:rFonts w:hint="eastAsia" w:ascii="仿宋_GB2312" w:hAnsi="宋体" w:eastAsia="仿宋_GB2312" w:cs="宋体"/>
                <w:b/>
                <w:kern w:val="0"/>
                <w:sz w:val="24"/>
                <w:szCs w:val="24"/>
                <w:highlight w:val="none"/>
              </w:rPr>
              <w:t>性别</w:t>
            </w:r>
          </w:p>
        </w:tc>
        <w:tc>
          <w:tcPr>
            <w:tcW w:w="1627"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400" w:lineRule="exact"/>
              <w:jc w:val="center"/>
              <w:rPr>
                <w:rFonts w:ascii="仿宋_GB2312" w:hAnsi="宋体" w:eastAsia="仿宋_GB2312" w:cs="宋体"/>
                <w:b/>
                <w:kern w:val="0"/>
                <w:sz w:val="24"/>
                <w:szCs w:val="24"/>
                <w:highlight w:val="none"/>
              </w:rPr>
            </w:pPr>
            <w:r>
              <w:rPr>
                <w:rFonts w:hint="eastAsia" w:ascii="仿宋_GB2312" w:hAnsi="宋体" w:eastAsia="仿宋_GB2312" w:cs="宋体"/>
                <w:b/>
                <w:kern w:val="0"/>
                <w:sz w:val="24"/>
                <w:szCs w:val="24"/>
                <w:highlight w:val="none"/>
              </w:rPr>
              <w:t>出生年月</w:t>
            </w:r>
          </w:p>
        </w:tc>
        <w:tc>
          <w:tcPr>
            <w:tcW w:w="4119"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400" w:lineRule="exact"/>
              <w:jc w:val="center"/>
              <w:rPr>
                <w:rFonts w:ascii="仿宋_GB2312" w:hAnsi="宋体" w:eastAsia="仿宋_GB2312" w:cs="宋体"/>
                <w:b/>
                <w:bCs/>
                <w:kern w:val="0"/>
                <w:sz w:val="24"/>
                <w:szCs w:val="24"/>
                <w:highlight w:val="none"/>
              </w:rPr>
            </w:pPr>
            <w:r>
              <w:rPr>
                <w:rFonts w:hint="eastAsia" w:ascii="仿宋_GB2312" w:hAnsi="宋体" w:eastAsia="仿宋_GB2312" w:cs="宋体"/>
                <w:b/>
                <w:kern w:val="0"/>
                <w:sz w:val="24"/>
                <w:szCs w:val="24"/>
                <w:highlight w:val="none"/>
              </w:rPr>
              <w:t>单位</w:t>
            </w:r>
          </w:p>
        </w:tc>
        <w:tc>
          <w:tcPr>
            <w:tcW w:w="1038"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400" w:lineRule="exact"/>
              <w:jc w:val="center"/>
              <w:rPr>
                <w:rFonts w:ascii="仿宋_GB2312" w:hAnsi="宋体" w:eastAsia="仿宋_GB2312" w:cs="宋体"/>
                <w:b/>
                <w:bCs/>
                <w:kern w:val="0"/>
                <w:sz w:val="24"/>
                <w:szCs w:val="24"/>
                <w:highlight w:val="none"/>
              </w:rPr>
            </w:pPr>
            <w:r>
              <w:rPr>
                <w:rFonts w:hint="eastAsia" w:ascii="仿宋_GB2312" w:hAnsi="宋体" w:eastAsia="仿宋_GB2312" w:cs="宋体"/>
                <w:b/>
                <w:kern w:val="0"/>
                <w:sz w:val="24"/>
                <w:szCs w:val="24"/>
                <w:highlight w:val="none"/>
              </w:rPr>
              <w:t>是否职工监事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3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监事长</w:t>
            </w:r>
          </w:p>
        </w:tc>
        <w:tc>
          <w:tcPr>
            <w:tcW w:w="9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陈立权</w:t>
            </w:r>
          </w:p>
        </w:tc>
        <w:tc>
          <w:tcPr>
            <w:tcW w:w="763"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男</w:t>
            </w:r>
          </w:p>
        </w:tc>
        <w:tc>
          <w:tcPr>
            <w:tcW w:w="1627"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1972年6月</w:t>
            </w:r>
          </w:p>
        </w:tc>
        <w:tc>
          <w:tcPr>
            <w:tcW w:w="4119"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浙江柯桥联合村镇银行股份有限公司</w:t>
            </w:r>
          </w:p>
        </w:tc>
        <w:tc>
          <w:tcPr>
            <w:tcW w:w="103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3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监事</w:t>
            </w:r>
          </w:p>
        </w:tc>
        <w:tc>
          <w:tcPr>
            <w:tcW w:w="9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陈自强</w:t>
            </w:r>
          </w:p>
        </w:tc>
        <w:tc>
          <w:tcPr>
            <w:tcW w:w="763"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hAnsi="仿宋_GB2312" w:eastAsia="仿宋_GB2312" w:cs="仿宋_GB2312"/>
                <w:sz w:val="24"/>
                <w:szCs w:val="24"/>
                <w:highlight w:val="none"/>
              </w:rPr>
            </w:pPr>
            <w:r>
              <w:rPr>
                <w:rFonts w:hint="eastAsia" w:ascii="仿宋_GB2312" w:hAnsi="宋体" w:eastAsia="仿宋_GB2312" w:cs="宋体"/>
                <w:kern w:val="0"/>
                <w:sz w:val="24"/>
                <w:szCs w:val="24"/>
                <w:highlight w:val="none"/>
              </w:rPr>
              <w:t>男</w:t>
            </w:r>
          </w:p>
        </w:tc>
        <w:tc>
          <w:tcPr>
            <w:tcW w:w="1627"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1987年3月</w:t>
            </w:r>
          </w:p>
        </w:tc>
        <w:tc>
          <w:tcPr>
            <w:tcW w:w="4119"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hAnsi="宋体" w:eastAsia="仿宋_GB2312" w:cs="宋体"/>
                <w:kern w:val="0"/>
                <w:sz w:val="24"/>
                <w:szCs w:val="24"/>
                <w:highlight w:val="none"/>
              </w:rPr>
            </w:pPr>
            <w:r>
              <w:rPr>
                <w:rFonts w:hint="eastAsia" w:ascii="仿宋_GB2312" w:hAnsi="仿宋_GB2312" w:eastAsia="仿宋_GB2312" w:cs="仿宋_GB2312"/>
                <w:sz w:val="24"/>
                <w:szCs w:val="24"/>
                <w:highlight w:val="none"/>
              </w:rPr>
              <w:t>绍兴昱耀纺织科技有限公司</w:t>
            </w:r>
          </w:p>
        </w:tc>
        <w:tc>
          <w:tcPr>
            <w:tcW w:w="103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3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监事</w:t>
            </w:r>
          </w:p>
        </w:tc>
        <w:tc>
          <w:tcPr>
            <w:tcW w:w="9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吴</w:t>
            </w:r>
            <w:r>
              <w:rPr>
                <w:rFonts w:hint="eastAsia" w:cs="宋体" w:asciiTheme="minorEastAsia" w:hAnsiTheme="minorEastAsia"/>
                <w:kern w:val="0"/>
                <w:sz w:val="24"/>
                <w:szCs w:val="24"/>
                <w:highlight w:val="none"/>
              </w:rPr>
              <w:t>偲</w:t>
            </w:r>
          </w:p>
        </w:tc>
        <w:tc>
          <w:tcPr>
            <w:tcW w:w="763"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男</w:t>
            </w:r>
          </w:p>
        </w:tc>
        <w:tc>
          <w:tcPr>
            <w:tcW w:w="1627"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1963年10月</w:t>
            </w:r>
          </w:p>
        </w:tc>
        <w:tc>
          <w:tcPr>
            <w:tcW w:w="4119"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上海物华金属材料有限公司</w:t>
            </w:r>
          </w:p>
        </w:tc>
        <w:tc>
          <w:tcPr>
            <w:tcW w:w="103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否</w:t>
            </w:r>
          </w:p>
        </w:tc>
      </w:tr>
    </w:tbl>
    <w:p>
      <w:pPr>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监事会是本行的监督机构，对股东大会负责。监事包括非职工监事和职工监事。非职工监事由股东大会选举产生，职工监事由职工通过民主选举和罢免。监事会主要负责监督董事会、高级管理人员履职情况，对董事和高级管理人员进行专项审计和离任审计，检查监督财务管理活动，对经营决策、风险管理和内部控制等进行审计，指导内部审计工作。</w:t>
      </w:r>
    </w:p>
    <w:p>
      <w:pPr>
        <w:spacing w:line="560" w:lineRule="exact"/>
        <w:ind w:firstLine="643" w:firstLineChars="200"/>
        <w:rPr>
          <w:rFonts w:ascii="仿宋_GB2312" w:hAnsi="仿宋" w:eastAsia="仿宋_GB2312"/>
          <w:b/>
          <w:bCs/>
          <w:sz w:val="32"/>
          <w:szCs w:val="32"/>
          <w:highlight w:val="none"/>
        </w:rPr>
      </w:pPr>
      <w:r>
        <w:rPr>
          <w:rFonts w:hint="eastAsia" w:ascii="仿宋_GB2312" w:hAnsi="仿宋" w:eastAsia="仿宋_GB2312"/>
          <w:b/>
          <w:bCs/>
          <w:sz w:val="32"/>
          <w:szCs w:val="32"/>
          <w:highlight w:val="none"/>
        </w:rPr>
        <w:t>2、监事会成员基本情况</w:t>
      </w:r>
    </w:p>
    <w:p>
      <w:pPr>
        <w:spacing w:line="560" w:lineRule="exact"/>
        <w:ind w:firstLine="643" w:firstLineChars="200"/>
        <w:rPr>
          <w:rFonts w:ascii="仿宋_GB2312" w:hAnsi="仿宋" w:eastAsia="仿宋_GB2312"/>
          <w:b/>
          <w:bCs/>
          <w:sz w:val="32"/>
          <w:szCs w:val="32"/>
          <w:highlight w:val="none"/>
        </w:rPr>
      </w:pPr>
      <w:r>
        <w:rPr>
          <w:rFonts w:hint="eastAsia" w:ascii="仿宋_GB2312" w:hAnsi="仿宋" w:eastAsia="仿宋_GB2312"/>
          <w:b/>
          <w:bCs/>
          <w:sz w:val="32"/>
          <w:szCs w:val="32"/>
          <w:highlight w:val="none"/>
        </w:rPr>
        <w:t>3、监事会运作情况</w:t>
      </w:r>
    </w:p>
    <w:p>
      <w:pPr>
        <w:spacing w:line="560" w:lineRule="exact"/>
        <w:ind w:firstLine="640" w:firstLineChars="200"/>
        <w:rPr>
          <w:rFonts w:ascii="仿宋_GB2312" w:hAnsi="仿宋" w:eastAsia="仿宋_GB2312"/>
          <w:bCs/>
          <w:sz w:val="32"/>
          <w:szCs w:val="32"/>
          <w:highlight w:val="none"/>
        </w:rPr>
      </w:pPr>
      <w:r>
        <w:rPr>
          <w:rFonts w:hint="eastAsia" w:ascii="仿宋_GB2312" w:hAnsi="仿宋" w:eastAsia="仿宋_GB2312"/>
          <w:bCs/>
          <w:sz w:val="32"/>
          <w:szCs w:val="32"/>
          <w:highlight w:val="none"/>
        </w:rPr>
        <w:t>报告期内，监事会严格按照国家相关法律法规及《浙江柯桥联合村镇银行股份有限公司章程》赋予的职责，按照“决策、执行、监督”三权分设的制衡机制，紧紧围绕股东大会确定的工作思路和工作重点，从履行监督职责、支持监督经营管理层工作、监审联动、强化内控制度建设等四方面行使了监事会的职能，共召开现场例会4次，听取并审议了15项决议。</w:t>
      </w:r>
    </w:p>
    <w:p>
      <w:pPr>
        <w:spacing w:line="560" w:lineRule="exact"/>
        <w:ind w:firstLine="643" w:firstLineChars="200"/>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lang w:eastAsia="zh-CN"/>
        </w:rPr>
        <w:t>六</w:t>
      </w:r>
      <w:r>
        <w:rPr>
          <w:rFonts w:hint="eastAsia" w:ascii="楷体_GB2312" w:hAnsi="楷体_GB2312" w:eastAsia="楷体_GB2312" w:cs="楷体_GB2312"/>
          <w:b/>
          <w:bCs/>
          <w:sz w:val="32"/>
          <w:szCs w:val="32"/>
          <w:highlight w:val="none"/>
        </w:rPr>
        <w:t>）高级管理层</w:t>
      </w:r>
    </w:p>
    <w:tbl>
      <w:tblPr>
        <w:tblStyle w:val="11"/>
        <w:tblpPr w:leftFromText="180" w:rightFromText="180" w:vertAnchor="text" w:horzAnchor="page" w:tblpX="1475" w:tblpY="35"/>
        <w:tblOverlap w:val="never"/>
        <w:tblW w:w="9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1289"/>
        <w:gridCol w:w="1134"/>
        <w:gridCol w:w="1558"/>
        <w:gridCol w:w="3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73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400" w:lineRule="exact"/>
              <w:jc w:val="center"/>
              <w:rPr>
                <w:rFonts w:ascii="仿宋_GB2312" w:hAnsi="宋体" w:eastAsia="仿宋_GB2312" w:cs="宋体"/>
                <w:b/>
                <w:kern w:val="0"/>
                <w:sz w:val="24"/>
                <w:szCs w:val="24"/>
                <w:highlight w:val="none"/>
              </w:rPr>
            </w:pPr>
            <w:r>
              <w:rPr>
                <w:rFonts w:hint="eastAsia" w:ascii="仿宋_GB2312" w:hAnsi="宋体" w:eastAsia="仿宋_GB2312" w:cs="宋体"/>
                <w:b/>
                <w:kern w:val="0"/>
                <w:sz w:val="24"/>
                <w:szCs w:val="24"/>
                <w:highlight w:val="none"/>
              </w:rPr>
              <w:t>职务</w:t>
            </w:r>
          </w:p>
        </w:tc>
        <w:tc>
          <w:tcPr>
            <w:tcW w:w="1289"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400" w:lineRule="exact"/>
              <w:jc w:val="center"/>
              <w:rPr>
                <w:rFonts w:ascii="仿宋_GB2312" w:hAnsi="宋体" w:eastAsia="仿宋_GB2312" w:cs="宋体"/>
                <w:b/>
                <w:bCs/>
                <w:kern w:val="0"/>
                <w:sz w:val="24"/>
                <w:szCs w:val="24"/>
                <w:highlight w:val="none"/>
              </w:rPr>
            </w:pPr>
            <w:r>
              <w:rPr>
                <w:rFonts w:hint="eastAsia" w:ascii="仿宋_GB2312" w:hAnsi="宋体" w:eastAsia="仿宋_GB2312" w:cs="宋体"/>
                <w:b/>
                <w:kern w:val="0"/>
                <w:sz w:val="24"/>
                <w:szCs w:val="24"/>
                <w:highlight w:val="none"/>
              </w:rPr>
              <w:t>姓名</w:t>
            </w:r>
          </w:p>
        </w:tc>
        <w:tc>
          <w:tcPr>
            <w:tcW w:w="1134"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400" w:lineRule="exact"/>
              <w:jc w:val="center"/>
              <w:rPr>
                <w:rFonts w:ascii="仿宋_GB2312" w:hAnsi="宋体" w:eastAsia="仿宋_GB2312" w:cs="宋体"/>
                <w:b/>
                <w:kern w:val="0"/>
                <w:sz w:val="24"/>
                <w:szCs w:val="24"/>
                <w:highlight w:val="none"/>
              </w:rPr>
            </w:pPr>
            <w:r>
              <w:rPr>
                <w:rFonts w:hint="eastAsia" w:ascii="仿宋_GB2312" w:hAnsi="宋体" w:eastAsia="仿宋_GB2312" w:cs="宋体"/>
                <w:b/>
                <w:kern w:val="0"/>
                <w:sz w:val="24"/>
                <w:szCs w:val="24"/>
                <w:highlight w:val="none"/>
              </w:rPr>
              <w:t>性别</w:t>
            </w:r>
          </w:p>
        </w:tc>
        <w:tc>
          <w:tcPr>
            <w:tcW w:w="1558"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400" w:lineRule="exact"/>
              <w:jc w:val="center"/>
              <w:rPr>
                <w:rFonts w:ascii="仿宋_GB2312" w:hAnsi="宋体" w:eastAsia="仿宋_GB2312" w:cs="宋体"/>
                <w:b/>
                <w:kern w:val="0"/>
                <w:sz w:val="24"/>
                <w:szCs w:val="24"/>
                <w:highlight w:val="none"/>
              </w:rPr>
            </w:pPr>
            <w:r>
              <w:rPr>
                <w:rFonts w:hint="eastAsia" w:ascii="仿宋_GB2312" w:hAnsi="宋体" w:eastAsia="仿宋_GB2312" w:cs="宋体"/>
                <w:b/>
                <w:kern w:val="0"/>
                <w:sz w:val="24"/>
                <w:szCs w:val="24"/>
                <w:highlight w:val="none"/>
              </w:rPr>
              <w:t>出生年月</w:t>
            </w:r>
          </w:p>
        </w:tc>
        <w:tc>
          <w:tcPr>
            <w:tcW w:w="3458"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400" w:lineRule="exact"/>
              <w:jc w:val="center"/>
              <w:rPr>
                <w:rFonts w:ascii="仿宋_GB2312" w:hAnsi="宋体" w:eastAsia="仿宋_GB2312" w:cs="宋体"/>
                <w:b/>
                <w:bCs/>
                <w:kern w:val="0"/>
                <w:sz w:val="24"/>
                <w:szCs w:val="24"/>
                <w:highlight w:val="none"/>
              </w:rPr>
            </w:pPr>
            <w:r>
              <w:rPr>
                <w:rFonts w:hint="eastAsia" w:ascii="仿宋_GB2312" w:hAnsi="宋体" w:eastAsia="仿宋_GB2312" w:cs="宋体"/>
                <w:b/>
                <w:kern w:val="0"/>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7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行长（拟任）</w:t>
            </w:r>
          </w:p>
        </w:tc>
        <w:tc>
          <w:tcPr>
            <w:tcW w:w="128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茆国宏</w:t>
            </w:r>
          </w:p>
        </w:tc>
        <w:tc>
          <w:tcPr>
            <w:tcW w:w="1134"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男</w:t>
            </w:r>
          </w:p>
        </w:tc>
        <w:tc>
          <w:tcPr>
            <w:tcW w:w="155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1974年3月</w:t>
            </w:r>
          </w:p>
        </w:tc>
        <w:tc>
          <w:tcPr>
            <w:tcW w:w="345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浙江柯桥联合村镇银行股份有限公司</w:t>
            </w:r>
          </w:p>
        </w:tc>
      </w:tr>
    </w:tbl>
    <w:p>
      <w:pPr>
        <w:spacing w:line="560" w:lineRule="exact"/>
        <w:ind w:firstLine="480" w:firstLineChars="200"/>
        <w:rPr>
          <w:rFonts w:ascii="仿宋_GB2312" w:hAnsi="仿宋" w:eastAsia="仿宋_GB2312"/>
          <w:bCs/>
          <w:sz w:val="24"/>
          <w:szCs w:val="24"/>
          <w:highlight w:val="none"/>
        </w:rPr>
      </w:pPr>
      <w:r>
        <w:rPr>
          <w:rFonts w:hint="eastAsia" w:ascii="仿宋_GB2312" w:hAnsi="仿宋" w:eastAsia="仿宋_GB2312"/>
          <w:bCs/>
          <w:sz w:val="24"/>
          <w:szCs w:val="24"/>
          <w:highlight w:val="none"/>
        </w:rPr>
        <w:t>注：自中国银保监会绍兴监管分局高管任职核准后履职。</w:t>
      </w:r>
    </w:p>
    <w:p>
      <w:pPr>
        <w:spacing w:line="560" w:lineRule="exact"/>
        <w:ind w:firstLine="643" w:firstLineChars="200"/>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lang w:eastAsia="zh-CN"/>
        </w:rPr>
        <w:t>七</w:t>
      </w:r>
      <w:r>
        <w:rPr>
          <w:rFonts w:hint="eastAsia" w:ascii="楷体_GB2312" w:hAnsi="楷体_GB2312" w:eastAsia="楷体_GB2312" w:cs="楷体_GB2312"/>
          <w:b/>
          <w:bCs/>
          <w:sz w:val="32"/>
          <w:szCs w:val="32"/>
          <w:highlight w:val="none"/>
        </w:rPr>
        <w:t>）组织架构及员工情况</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报告期，本行设立行长室，有综合管理部、财务运营部、风险合规部、业务管理部、内审部等五个职能部门，下设总行营业部、钱清支行、漓渚支行、齐贤支行、安昌支行、杨汛桥支行。年末在编员工人数123人，其中管理人员17人，普通员工106人。</w:t>
      </w:r>
    </w:p>
    <w:tbl>
      <w:tblPr>
        <w:tblStyle w:val="11"/>
        <w:tblW w:w="9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5"/>
        <w:gridCol w:w="3105"/>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105" w:type="dxa"/>
            <w:noWrap/>
          </w:tcPr>
          <w:p>
            <w:pPr>
              <w:autoSpaceDE w:val="0"/>
              <w:autoSpaceDN w:val="0"/>
              <w:adjustRightInd w:val="0"/>
              <w:spacing w:line="400" w:lineRule="exact"/>
              <w:jc w:val="center"/>
              <w:rPr>
                <w:rFonts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部室类别</w:t>
            </w:r>
          </w:p>
        </w:tc>
        <w:tc>
          <w:tcPr>
            <w:tcW w:w="3105" w:type="dxa"/>
            <w:noWrap/>
          </w:tcPr>
          <w:p>
            <w:pPr>
              <w:autoSpaceDE w:val="0"/>
              <w:autoSpaceDN w:val="0"/>
              <w:adjustRightInd w:val="0"/>
              <w:spacing w:line="400" w:lineRule="exact"/>
              <w:jc w:val="center"/>
              <w:rPr>
                <w:rFonts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员工人数</w:t>
            </w:r>
          </w:p>
        </w:tc>
        <w:tc>
          <w:tcPr>
            <w:tcW w:w="3105" w:type="dxa"/>
            <w:noWrap/>
          </w:tcPr>
          <w:p>
            <w:pPr>
              <w:autoSpaceDE w:val="0"/>
              <w:autoSpaceDN w:val="0"/>
              <w:adjustRightInd w:val="0"/>
              <w:spacing w:line="400" w:lineRule="exact"/>
              <w:jc w:val="center"/>
              <w:rPr>
                <w:rFonts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占员工总数比例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105" w:type="dxa"/>
            <w:noWrap/>
          </w:tcPr>
          <w:p>
            <w:pPr>
              <w:autoSpaceDE w:val="0"/>
              <w:autoSpaceDN w:val="0"/>
              <w:adjustRightInd w:val="0"/>
              <w:spacing w:line="400" w:lineRule="exact"/>
              <w:jc w:val="center"/>
              <w:rPr>
                <w:rFonts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color w:val="000000"/>
                <w:kern w:val="0"/>
                <w:sz w:val="24"/>
                <w:szCs w:val="24"/>
                <w:highlight w:val="none"/>
              </w:rPr>
              <w:t>董事长室</w:t>
            </w:r>
          </w:p>
        </w:tc>
        <w:tc>
          <w:tcPr>
            <w:tcW w:w="3105" w:type="dxa"/>
            <w:noWrap/>
          </w:tcPr>
          <w:p>
            <w:pPr>
              <w:autoSpaceDE w:val="0"/>
              <w:autoSpaceDN w:val="0"/>
              <w:adjustRightInd w:val="0"/>
              <w:spacing w:line="400" w:lineRule="exact"/>
              <w:jc w:val="center"/>
              <w:rPr>
                <w:rFonts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color w:val="000000"/>
                <w:kern w:val="0"/>
                <w:sz w:val="24"/>
                <w:szCs w:val="24"/>
                <w:highlight w:val="none"/>
              </w:rPr>
              <w:t>1</w:t>
            </w:r>
          </w:p>
        </w:tc>
        <w:tc>
          <w:tcPr>
            <w:tcW w:w="3105" w:type="dxa"/>
            <w:noWrap/>
          </w:tcPr>
          <w:p>
            <w:pPr>
              <w:autoSpaceDE w:val="0"/>
              <w:autoSpaceDN w:val="0"/>
              <w:adjustRightInd w:val="0"/>
              <w:spacing w:line="400" w:lineRule="exact"/>
              <w:jc w:val="center"/>
              <w:rPr>
                <w:rFonts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color w:val="000000"/>
                <w:kern w:val="0"/>
                <w:sz w:val="24"/>
                <w:szCs w:val="24"/>
                <w:highlight w:val="none"/>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105" w:type="dxa"/>
            <w:noWrap/>
            <w:vAlign w:val="center"/>
          </w:tcPr>
          <w:p>
            <w:pPr>
              <w:autoSpaceDE w:val="0"/>
              <w:autoSpaceDN w:val="0"/>
              <w:adjustRightInd w:val="0"/>
              <w:spacing w:line="400" w:lineRule="exact"/>
              <w:jc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行长室（拟任）</w:t>
            </w:r>
          </w:p>
        </w:tc>
        <w:tc>
          <w:tcPr>
            <w:tcW w:w="3105" w:type="dxa"/>
            <w:noWrap/>
          </w:tcPr>
          <w:p>
            <w:pPr>
              <w:autoSpaceDE w:val="0"/>
              <w:autoSpaceDN w:val="0"/>
              <w:adjustRightInd w:val="0"/>
              <w:spacing w:line="400" w:lineRule="exact"/>
              <w:jc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w:t>
            </w:r>
          </w:p>
        </w:tc>
        <w:tc>
          <w:tcPr>
            <w:tcW w:w="3105" w:type="dxa"/>
            <w:noWrap/>
          </w:tcPr>
          <w:p>
            <w:pPr>
              <w:autoSpaceDE w:val="0"/>
              <w:autoSpaceDN w:val="0"/>
              <w:adjustRightInd w:val="0"/>
              <w:spacing w:line="400" w:lineRule="exact"/>
              <w:jc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105" w:type="dxa"/>
            <w:noWrap/>
            <w:vAlign w:val="center"/>
          </w:tcPr>
          <w:p>
            <w:pPr>
              <w:autoSpaceDE w:val="0"/>
              <w:autoSpaceDN w:val="0"/>
              <w:adjustRightInd w:val="0"/>
              <w:spacing w:line="400" w:lineRule="exact"/>
              <w:jc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监事长室</w:t>
            </w:r>
          </w:p>
        </w:tc>
        <w:tc>
          <w:tcPr>
            <w:tcW w:w="3105" w:type="dxa"/>
            <w:noWrap/>
          </w:tcPr>
          <w:p>
            <w:pPr>
              <w:autoSpaceDE w:val="0"/>
              <w:autoSpaceDN w:val="0"/>
              <w:adjustRightInd w:val="0"/>
              <w:spacing w:line="400" w:lineRule="exact"/>
              <w:jc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w:t>
            </w:r>
          </w:p>
        </w:tc>
        <w:tc>
          <w:tcPr>
            <w:tcW w:w="3105" w:type="dxa"/>
            <w:noWrap/>
          </w:tcPr>
          <w:p>
            <w:pPr>
              <w:autoSpaceDE w:val="0"/>
              <w:autoSpaceDN w:val="0"/>
              <w:adjustRightInd w:val="0"/>
              <w:spacing w:line="400" w:lineRule="exact"/>
              <w:jc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105" w:type="dxa"/>
            <w:noWrap/>
            <w:vAlign w:val="center"/>
          </w:tcPr>
          <w:p>
            <w:pPr>
              <w:autoSpaceDE w:val="0"/>
              <w:autoSpaceDN w:val="0"/>
              <w:adjustRightInd w:val="0"/>
              <w:spacing w:line="400" w:lineRule="exact"/>
              <w:jc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综合管理部</w:t>
            </w:r>
          </w:p>
        </w:tc>
        <w:tc>
          <w:tcPr>
            <w:tcW w:w="3105" w:type="dxa"/>
            <w:noWrap/>
          </w:tcPr>
          <w:p>
            <w:pPr>
              <w:autoSpaceDE w:val="0"/>
              <w:autoSpaceDN w:val="0"/>
              <w:adjustRightInd w:val="0"/>
              <w:spacing w:line="400" w:lineRule="exact"/>
              <w:jc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4</w:t>
            </w:r>
          </w:p>
        </w:tc>
        <w:tc>
          <w:tcPr>
            <w:tcW w:w="3105" w:type="dxa"/>
            <w:noWrap/>
          </w:tcPr>
          <w:p>
            <w:pPr>
              <w:autoSpaceDE w:val="0"/>
              <w:autoSpaceDN w:val="0"/>
              <w:adjustRightInd w:val="0"/>
              <w:spacing w:line="400" w:lineRule="exact"/>
              <w:jc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105" w:type="dxa"/>
            <w:noWrap/>
            <w:vAlign w:val="center"/>
          </w:tcPr>
          <w:p>
            <w:pPr>
              <w:autoSpaceDE w:val="0"/>
              <w:autoSpaceDN w:val="0"/>
              <w:adjustRightInd w:val="0"/>
              <w:spacing w:line="400" w:lineRule="exact"/>
              <w:jc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财务运营部</w:t>
            </w:r>
          </w:p>
        </w:tc>
        <w:tc>
          <w:tcPr>
            <w:tcW w:w="3105" w:type="dxa"/>
            <w:noWrap/>
          </w:tcPr>
          <w:p>
            <w:pPr>
              <w:autoSpaceDE w:val="0"/>
              <w:autoSpaceDN w:val="0"/>
              <w:adjustRightInd w:val="0"/>
              <w:spacing w:line="400" w:lineRule="exact"/>
              <w:jc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8</w:t>
            </w:r>
          </w:p>
        </w:tc>
        <w:tc>
          <w:tcPr>
            <w:tcW w:w="3105" w:type="dxa"/>
            <w:noWrap/>
          </w:tcPr>
          <w:p>
            <w:pPr>
              <w:autoSpaceDE w:val="0"/>
              <w:autoSpaceDN w:val="0"/>
              <w:adjustRightInd w:val="0"/>
              <w:spacing w:line="400" w:lineRule="exact"/>
              <w:jc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105" w:type="dxa"/>
            <w:noWrap/>
            <w:vAlign w:val="center"/>
          </w:tcPr>
          <w:p>
            <w:pPr>
              <w:autoSpaceDE w:val="0"/>
              <w:autoSpaceDN w:val="0"/>
              <w:adjustRightInd w:val="0"/>
              <w:spacing w:line="400" w:lineRule="exact"/>
              <w:jc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sz w:val="24"/>
                <w:szCs w:val="24"/>
                <w:highlight w:val="none"/>
              </w:rPr>
              <w:t>风险管理部</w:t>
            </w:r>
          </w:p>
        </w:tc>
        <w:tc>
          <w:tcPr>
            <w:tcW w:w="3105" w:type="dxa"/>
            <w:noWrap/>
          </w:tcPr>
          <w:p>
            <w:pPr>
              <w:autoSpaceDE w:val="0"/>
              <w:autoSpaceDN w:val="0"/>
              <w:adjustRightInd w:val="0"/>
              <w:spacing w:line="400" w:lineRule="exact"/>
              <w:jc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9</w:t>
            </w:r>
          </w:p>
        </w:tc>
        <w:tc>
          <w:tcPr>
            <w:tcW w:w="3105" w:type="dxa"/>
            <w:noWrap/>
          </w:tcPr>
          <w:p>
            <w:pPr>
              <w:autoSpaceDE w:val="0"/>
              <w:autoSpaceDN w:val="0"/>
              <w:adjustRightInd w:val="0"/>
              <w:spacing w:line="400" w:lineRule="exact"/>
              <w:jc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105" w:type="dxa"/>
            <w:noWrap/>
            <w:vAlign w:val="center"/>
          </w:tcPr>
          <w:p>
            <w:pPr>
              <w:autoSpaceDE w:val="0"/>
              <w:autoSpaceDN w:val="0"/>
              <w:adjustRightInd w:val="0"/>
              <w:spacing w:line="400" w:lineRule="exact"/>
              <w:jc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sz w:val="24"/>
                <w:szCs w:val="24"/>
                <w:highlight w:val="none"/>
              </w:rPr>
              <w:t>业务管理部</w:t>
            </w:r>
          </w:p>
        </w:tc>
        <w:tc>
          <w:tcPr>
            <w:tcW w:w="3105" w:type="dxa"/>
            <w:noWrap/>
          </w:tcPr>
          <w:p>
            <w:pPr>
              <w:autoSpaceDE w:val="0"/>
              <w:autoSpaceDN w:val="0"/>
              <w:adjustRightInd w:val="0"/>
              <w:spacing w:line="400" w:lineRule="exact"/>
              <w:jc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3</w:t>
            </w:r>
          </w:p>
        </w:tc>
        <w:tc>
          <w:tcPr>
            <w:tcW w:w="3105" w:type="dxa"/>
            <w:noWrap/>
          </w:tcPr>
          <w:p>
            <w:pPr>
              <w:autoSpaceDE w:val="0"/>
              <w:autoSpaceDN w:val="0"/>
              <w:adjustRightInd w:val="0"/>
              <w:spacing w:line="400" w:lineRule="exact"/>
              <w:jc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105" w:type="dxa"/>
            <w:noWrap/>
            <w:vAlign w:val="center"/>
          </w:tcPr>
          <w:p>
            <w:pPr>
              <w:autoSpaceDE w:val="0"/>
              <w:autoSpaceDN w:val="0"/>
              <w:adjustRightInd w:val="0"/>
              <w:spacing w:line="400" w:lineRule="exact"/>
              <w:jc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sz w:val="24"/>
                <w:szCs w:val="24"/>
                <w:highlight w:val="none"/>
              </w:rPr>
              <w:t>内审部</w:t>
            </w:r>
          </w:p>
        </w:tc>
        <w:tc>
          <w:tcPr>
            <w:tcW w:w="3105" w:type="dxa"/>
            <w:noWrap/>
          </w:tcPr>
          <w:p>
            <w:pPr>
              <w:autoSpaceDE w:val="0"/>
              <w:autoSpaceDN w:val="0"/>
              <w:adjustRightInd w:val="0"/>
              <w:spacing w:line="400" w:lineRule="exact"/>
              <w:jc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2</w:t>
            </w:r>
          </w:p>
        </w:tc>
        <w:tc>
          <w:tcPr>
            <w:tcW w:w="3105" w:type="dxa"/>
            <w:noWrap/>
          </w:tcPr>
          <w:p>
            <w:pPr>
              <w:autoSpaceDE w:val="0"/>
              <w:autoSpaceDN w:val="0"/>
              <w:adjustRightInd w:val="0"/>
              <w:spacing w:line="400" w:lineRule="exact"/>
              <w:jc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105" w:type="dxa"/>
            <w:noWrap/>
            <w:vAlign w:val="center"/>
          </w:tcPr>
          <w:p>
            <w:pPr>
              <w:autoSpaceDE w:val="0"/>
              <w:autoSpaceDN w:val="0"/>
              <w:adjustRightInd w:val="0"/>
              <w:spacing w:line="40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总行营业部</w:t>
            </w:r>
          </w:p>
        </w:tc>
        <w:tc>
          <w:tcPr>
            <w:tcW w:w="3105" w:type="dxa"/>
            <w:noWrap/>
          </w:tcPr>
          <w:p>
            <w:pPr>
              <w:autoSpaceDE w:val="0"/>
              <w:autoSpaceDN w:val="0"/>
              <w:adjustRightInd w:val="0"/>
              <w:spacing w:line="400" w:lineRule="exact"/>
              <w:jc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37</w:t>
            </w:r>
          </w:p>
        </w:tc>
        <w:tc>
          <w:tcPr>
            <w:tcW w:w="3105" w:type="dxa"/>
            <w:noWrap/>
          </w:tcPr>
          <w:p>
            <w:pPr>
              <w:autoSpaceDE w:val="0"/>
              <w:autoSpaceDN w:val="0"/>
              <w:adjustRightInd w:val="0"/>
              <w:spacing w:line="400" w:lineRule="exact"/>
              <w:jc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30.08%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105" w:type="dxa"/>
            <w:noWrap/>
            <w:vAlign w:val="center"/>
          </w:tcPr>
          <w:p>
            <w:pPr>
              <w:autoSpaceDE w:val="0"/>
              <w:autoSpaceDN w:val="0"/>
              <w:adjustRightInd w:val="0"/>
              <w:spacing w:line="40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钱清支行</w:t>
            </w:r>
          </w:p>
        </w:tc>
        <w:tc>
          <w:tcPr>
            <w:tcW w:w="3105" w:type="dxa"/>
            <w:noWrap/>
          </w:tcPr>
          <w:p>
            <w:pPr>
              <w:autoSpaceDE w:val="0"/>
              <w:autoSpaceDN w:val="0"/>
              <w:adjustRightInd w:val="0"/>
              <w:spacing w:line="400" w:lineRule="exact"/>
              <w:jc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17</w:t>
            </w:r>
          </w:p>
        </w:tc>
        <w:tc>
          <w:tcPr>
            <w:tcW w:w="3105" w:type="dxa"/>
            <w:noWrap/>
          </w:tcPr>
          <w:p>
            <w:pPr>
              <w:autoSpaceDE w:val="0"/>
              <w:autoSpaceDN w:val="0"/>
              <w:adjustRightInd w:val="0"/>
              <w:spacing w:line="400" w:lineRule="exact"/>
              <w:jc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105" w:type="dxa"/>
            <w:noWrap/>
            <w:vAlign w:val="center"/>
          </w:tcPr>
          <w:p>
            <w:pPr>
              <w:autoSpaceDE w:val="0"/>
              <w:autoSpaceDN w:val="0"/>
              <w:adjustRightInd w:val="0"/>
              <w:spacing w:line="40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漓渚支行</w:t>
            </w:r>
          </w:p>
        </w:tc>
        <w:tc>
          <w:tcPr>
            <w:tcW w:w="3105" w:type="dxa"/>
            <w:noWrap/>
          </w:tcPr>
          <w:p>
            <w:pPr>
              <w:autoSpaceDE w:val="0"/>
              <w:autoSpaceDN w:val="0"/>
              <w:adjustRightInd w:val="0"/>
              <w:spacing w:line="400" w:lineRule="exact"/>
              <w:jc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10</w:t>
            </w:r>
          </w:p>
        </w:tc>
        <w:tc>
          <w:tcPr>
            <w:tcW w:w="3105" w:type="dxa"/>
            <w:noWrap/>
          </w:tcPr>
          <w:p>
            <w:pPr>
              <w:autoSpaceDE w:val="0"/>
              <w:autoSpaceDN w:val="0"/>
              <w:adjustRightInd w:val="0"/>
              <w:spacing w:line="400" w:lineRule="exact"/>
              <w:jc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105" w:type="dxa"/>
            <w:noWrap/>
            <w:vAlign w:val="center"/>
          </w:tcPr>
          <w:p>
            <w:pPr>
              <w:autoSpaceDE w:val="0"/>
              <w:autoSpaceDN w:val="0"/>
              <w:adjustRightInd w:val="0"/>
              <w:spacing w:line="40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齐贤支行</w:t>
            </w:r>
          </w:p>
        </w:tc>
        <w:tc>
          <w:tcPr>
            <w:tcW w:w="3105" w:type="dxa"/>
            <w:noWrap/>
          </w:tcPr>
          <w:p>
            <w:pPr>
              <w:autoSpaceDE w:val="0"/>
              <w:autoSpaceDN w:val="0"/>
              <w:adjustRightInd w:val="0"/>
              <w:spacing w:line="400" w:lineRule="exact"/>
              <w:jc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12</w:t>
            </w:r>
          </w:p>
        </w:tc>
        <w:tc>
          <w:tcPr>
            <w:tcW w:w="3105" w:type="dxa"/>
            <w:noWrap/>
          </w:tcPr>
          <w:p>
            <w:pPr>
              <w:autoSpaceDE w:val="0"/>
              <w:autoSpaceDN w:val="0"/>
              <w:adjustRightInd w:val="0"/>
              <w:spacing w:line="400" w:lineRule="exact"/>
              <w:jc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105" w:type="dxa"/>
            <w:noWrap/>
            <w:vAlign w:val="center"/>
          </w:tcPr>
          <w:p>
            <w:pPr>
              <w:autoSpaceDE w:val="0"/>
              <w:autoSpaceDN w:val="0"/>
              <w:adjustRightInd w:val="0"/>
              <w:spacing w:line="40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杨汛桥支行</w:t>
            </w:r>
          </w:p>
        </w:tc>
        <w:tc>
          <w:tcPr>
            <w:tcW w:w="3105" w:type="dxa"/>
            <w:noWrap/>
          </w:tcPr>
          <w:p>
            <w:pPr>
              <w:autoSpaceDE w:val="0"/>
              <w:autoSpaceDN w:val="0"/>
              <w:adjustRightInd w:val="0"/>
              <w:spacing w:line="400" w:lineRule="exact"/>
              <w:jc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10</w:t>
            </w:r>
          </w:p>
        </w:tc>
        <w:tc>
          <w:tcPr>
            <w:tcW w:w="3105" w:type="dxa"/>
            <w:noWrap/>
          </w:tcPr>
          <w:p>
            <w:pPr>
              <w:autoSpaceDE w:val="0"/>
              <w:autoSpaceDN w:val="0"/>
              <w:adjustRightInd w:val="0"/>
              <w:spacing w:line="400" w:lineRule="exact"/>
              <w:jc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105" w:type="dxa"/>
            <w:noWrap/>
            <w:vAlign w:val="center"/>
          </w:tcPr>
          <w:p>
            <w:pPr>
              <w:autoSpaceDE w:val="0"/>
              <w:autoSpaceDN w:val="0"/>
              <w:adjustRightInd w:val="0"/>
              <w:spacing w:line="40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安昌支行</w:t>
            </w:r>
          </w:p>
        </w:tc>
        <w:tc>
          <w:tcPr>
            <w:tcW w:w="3105" w:type="dxa"/>
            <w:noWrap/>
          </w:tcPr>
          <w:p>
            <w:pPr>
              <w:autoSpaceDE w:val="0"/>
              <w:autoSpaceDN w:val="0"/>
              <w:adjustRightInd w:val="0"/>
              <w:spacing w:line="400" w:lineRule="exact"/>
              <w:jc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8</w:t>
            </w:r>
          </w:p>
        </w:tc>
        <w:tc>
          <w:tcPr>
            <w:tcW w:w="3105" w:type="dxa"/>
            <w:noWrap/>
          </w:tcPr>
          <w:p>
            <w:pPr>
              <w:autoSpaceDE w:val="0"/>
              <w:autoSpaceDN w:val="0"/>
              <w:adjustRightInd w:val="0"/>
              <w:spacing w:line="400" w:lineRule="exact"/>
              <w:jc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6.5%</w:t>
            </w:r>
          </w:p>
        </w:tc>
      </w:tr>
    </w:tbl>
    <w:p>
      <w:pPr>
        <w:spacing w:line="560" w:lineRule="exact"/>
        <w:ind w:firstLine="643" w:firstLineChars="200"/>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lang w:eastAsia="zh-CN"/>
        </w:rPr>
        <w:t>八</w:t>
      </w:r>
      <w:r>
        <w:rPr>
          <w:rFonts w:hint="eastAsia" w:ascii="楷体_GB2312" w:hAnsi="楷体_GB2312" w:eastAsia="楷体_GB2312" w:cs="楷体_GB2312"/>
          <w:b/>
          <w:bCs/>
          <w:sz w:val="32"/>
          <w:szCs w:val="32"/>
          <w:highlight w:val="none"/>
        </w:rPr>
        <w:t>）员工受教育程度</w:t>
      </w:r>
    </w:p>
    <w:tbl>
      <w:tblPr>
        <w:tblStyle w:val="11"/>
        <w:tblW w:w="9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138"/>
        <w:gridCol w:w="3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073" w:type="dxa"/>
            <w:noWrap/>
          </w:tcPr>
          <w:p>
            <w:pPr>
              <w:autoSpaceDE w:val="0"/>
              <w:autoSpaceDN w:val="0"/>
              <w:adjustRightInd w:val="0"/>
              <w:spacing w:line="400" w:lineRule="exact"/>
              <w:jc w:val="center"/>
              <w:rPr>
                <w:rFonts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 xml:space="preserve">学历类别 </w:t>
            </w:r>
          </w:p>
        </w:tc>
        <w:tc>
          <w:tcPr>
            <w:tcW w:w="3138" w:type="dxa"/>
            <w:noWrap/>
          </w:tcPr>
          <w:p>
            <w:pPr>
              <w:autoSpaceDE w:val="0"/>
              <w:autoSpaceDN w:val="0"/>
              <w:adjustRightInd w:val="0"/>
              <w:spacing w:line="400" w:lineRule="exact"/>
              <w:jc w:val="center"/>
              <w:rPr>
                <w:rFonts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 xml:space="preserve">员工人数 </w:t>
            </w:r>
          </w:p>
        </w:tc>
        <w:tc>
          <w:tcPr>
            <w:tcW w:w="3138" w:type="dxa"/>
            <w:noWrap/>
          </w:tcPr>
          <w:p>
            <w:pPr>
              <w:autoSpaceDE w:val="0"/>
              <w:autoSpaceDN w:val="0"/>
              <w:adjustRightInd w:val="0"/>
              <w:spacing w:line="400" w:lineRule="exact"/>
              <w:jc w:val="center"/>
              <w:rPr>
                <w:rFonts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 xml:space="preserve">占员工总数的比例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073" w:type="dxa"/>
            <w:noWrap/>
          </w:tcPr>
          <w:p>
            <w:pPr>
              <w:autoSpaceDE w:val="0"/>
              <w:autoSpaceDN w:val="0"/>
              <w:adjustRightInd w:val="0"/>
              <w:spacing w:line="400" w:lineRule="exact"/>
              <w:jc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本科及以上</w:t>
            </w:r>
          </w:p>
        </w:tc>
        <w:tc>
          <w:tcPr>
            <w:tcW w:w="3138" w:type="dxa"/>
            <w:noWrap/>
          </w:tcPr>
          <w:p>
            <w:pPr>
              <w:autoSpaceDE w:val="0"/>
              <w:autoSpaceDN w:val="0"/>
              <w:adjustRightInd w:val="0"/>
              <w:spacing w:line="400" w:lineRule="exact"/>
              <w:jc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71</w:t>
            </w:r>
          </w:p>
        </w:tc>
        <w:tc>
          <w:tcPr>
            <w:tcW w:w="3138" w:type="dxa"/>
            <w:noWrap/>
          </w:tcPr>
          <w:p>
            <w:pPr>
              <w:autoSpaceDE w:val="0"/>
              <w:autoSpaceDN w:val="0"/>
              <w:adjustRightInd w:val="0"/>
              <w:spacing w:line="400" w:lineRule="exact"/>
              <w:jc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57.72%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073" w:type="dxa"/>
            <w:noWrap/>
          </w:tcPr>
          <w:p>
            <w:pPr>
              <w:autoSpaceDE w:val="0"/>
              <w:autoSpaceDN w:val="0"/>
              <w:adjustRightInd w:val="0"/>
              <w:spacing w:line="400" w:lineRule="exact"/>
              <w:jc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大专</w:t>
            </w:r>
          </w:p>
        </w:tc>
        <w:tc>
          <w:tcPr>
            <w:tcW w:w="3138" w:type="dxa"/>
            <w:noWrap/>
          </w:tcPr>
          <w:p>
            <w:pPr>
              <w:autoSpaceDE w:val="0"/>
              <w:autoSpaceDN w:val="0"/>
              <w:adjustRightInd w:val="0"/>
              <w:spacing w:line="400" w:lineRule="exact"/>
              <w:jc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50</w:t>
            </w:r>
          </w:p>
        </w:tc>
        <w:tc>
          <w:tcPr>
            <w:tcW w:w="3138" w:type="dxa"/>
            <w:noWrap/>
          </w:tcPr>
          <w:p>
            <w:pPr>
              <w:autoSpaceDE w:val="0"/>
              <w:autoSpaceDN w:val="0"/>
              <w:adjustRightInd w:val="0"/>
              <w:spacing w:line="400" w:lineRule="exact"/>
              <w:jc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40.65%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073" w:type="dxa"/>
            <w:noWrap/>
          </w:tcPr>
          <w:p>
            <w:pPr>
              <w:autoSpaceDE w:val="0"/>
              <w:autoSpaceDN w:val="0"/>
              <w:adjustRightInd w:val="0"/>
              <w:spacing w:line="400" w:lineRule="exact"/>
              <w:jc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大专以下</w:t>
            </w:r>
          </w:p>
        </w:tc>
        <w:tc>
          <w:tcPr>
            <w:tcW w:w="3138" w:type="dxa"/>
            <w:noWrap/>
          </w:tcPr>
          <w:p>
            <w:pPr>
              <w:autoSpaceDE w:val="0"/>
              <w:autoSpaceDN w:val="0"/>
              <w:adjustRightInd w:val="0"/>
              <w:spacing w:line="400" w:lineRule="exact"/>
              <w:jc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2</w:t>
            </w:r>
          </w:p>
        </w:tc>
        <w:tc>
          <w:tcPr>
            <w:tcW w:w="3138" w:type="dxa"/>
            <w:noWrap/>
          </w:tcPr>
          <w:p>
            <w:pPr>
              <w:autoSpaceDE w:val="0"/>
              <w:autoSpaceDN w:val="0"/>
              <w:adjustRightInd w:val="0"/>
              <w:spacing w:line="400" w:lineRule="exact"/>
              <w:jc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073" w:type="dxa"/>
            <w:noWrap/>
          </w:tcPr>
          <w:p>
            <w:pPr>
              <w:autoSpaceDE w:val="0"/>
              <w:autoSpaceDN w:val="0"/>
              <w:adjustRightInd w:val="0"/>
              <w:spacing w:line="400" w:lineRule="exact"/>
              <w:jc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合计</w:t>
            </w:r>
          </w:p>
        </w:tc>
        <w:tc>
          <w:tcPr>
            <w:tcW w:w="3138" w:type="dxa"/>
            <w:noWrap/>
          </w:tcPr>
          <w:p>
            <w:pPr>
              <w:autoSpaceDE w:val="0"/>
              <w:autoSpaceDN w:val="0"/>
              <w:adjustRightInd w:val="0"/>
              <w:spacing w:line="400" w:lineRule="exact"/>
              <w:jc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123</w:t>
            </w:r>
          </w:p>
        </w:tc>
        <w:tc>
          <w:tcPr>
            <w:tcW w:w="3138" w:type="dxa"/>
            <w:noWrap/>
          </w:tcPr>
          <w:p>
            <w:pPr>
              <w:autoSpaceDE w:val="0"/>
              <w:autoSpaceDN w:val="0"/>
              <w:adjustRightInd w:val="0"/>
              <w:spacing w:line="400" w:lineRule="exact"/>
              <w:jc w:val="center"/>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100%</w:t>
            </w:r>
          </w:p>
        </w:tc>
      </w:tr>
    </w:tbl>
    <w:p>
      <w:pPr>
        <w:spacing w:line="560" w:lineRule="exact"/>
        <w:ind w:firstLine="640" w:firstLineChars="200"/>
        <w:jc w:val="left"/>
        <w:rPr>
          <w:rFonts w:ascii="黑体" w:hAnsi="黑体" w:eastAsia="黑体" w:cs="黑体"/>
          <w:bCs/>
          <w:sz w:val="32"/>
          <w:szCs w:val="32"/>
          <w:highlight w:val="none"/>
        </w:rPr>
      </w:pPr>
      <w:r>
        <w:rPr>
          <w:rFonts w:hint="eastAsia" w:ascii="黑体" w:hAnsi="黑体" w:eastAsia="黑体" w:cs="黑体"/>
          <w:bCs/>
          <w:sz w:val="32"/>
          <w:szCs w:val="32"/>
          <w:highlight w:val="none"/>
        </w:rPr>
        <w:t>五、薪酬管理情况</w:t>
      </w:r>
    </w:p>
    <w:p>
      <w:pPr>
        <w:spacing w:line="560" w:lineRule="exact"/>
        <w:ind w:firstLine="643" w:firstLineChars="200"/>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（一）薪酬管理制度制定情况</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2022年，本行修订了《浙江柯桥联合村镇银行股份有限公司2022年度非经营单位绩效考核办法》、《浙江柯桥联合村镇银行股份有限公司企业年金管理办法》、《浙江柯桥联合村镇银行股份有限公司新客户经理管理办法（暂行）》、《浙江柯桥联合村镇银行股份有限公司关于明确退休员工福利标准的通知》等相关制度。</w:t>
      </w:r>
    </w:p>
    <w:p>
      <w:pPr>
        <w:spacing w:line="560" w:lineRule="exact"/>
        <w:ind w:firstLine="643" w:firstLineChars="200"/>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（二）薪酬列支情况</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全年列支人力费用支出</w:t>
      </w:r>
      <w:r>
        <w:rPr>
          <w:rFonts w:hint="eastAsia" w:ascii="仿宋_GB2312" w:hAnsi="宋体" w:eastAsia="仿宋_GB2312" w:cs="宋体"/>
          <w:kern w:val="0"/>
          <w:sz w:val="32"/>
          <w:szCs w:val="32"/>
          <w:highlight w:val="none"/>
        </w:rPr>
        <w:t>2664.65</w:t>
      </w:r>
      <w:r>
        <w:rPr>
          <w:rFonts w:hint="eastAsia" w:ascii="仿宋_GB2312" w:eastAsia="仿宋_GB2312"/>
          <w:color w:val="000000"/>
          <w:sz w:val="32"/>
          <w:szCs w:val="32"/>
          <w:highlight w:val="none"/>
        </w:rPr>
        <w:t>万元，其中职工工资</w:t>
      </w:r>
      <w:r>
        <w:rPr>
          <w:rFonts w:hint="eastAsia" w:ascii="仿宋_GB2312" w:hAnsi="仿宋_GB2312" w:eastAsia="仿宋_GB2312" w:cs="仿宋_GB2312"/>
          <w:kern w:val="0"/>
          <w:sz w:val="32"/>
          <w:szCs w:val="32"/>
          <w:highlight w:val="none"/>
        </w:rPr>
        <w:t>1863.14</w:t>
      </w:r>
      <w:r>
        <w:rPr>
          <w:rFonts w:hint="eastAsia" w:ascii="仿宋_GB2312" w:eastAsia="仿宋_GB2312"/>
          <w:color w:val="000000"/>
          <w:sz w:val="32"/>
          <w:szCs w:val="32"/>
          <w:highlight w:val="none"/>
        </w:rPr>
        <w:t>万元，包含基础薪酬</w:t>
      </w:r>
      <w:r>
        <w:rPr>
          <w:rFonts w:hint="eastAsia" w:ascii="仿宋_GB2312" w:eastAsia="仿宋_GB2312"/>
          <w:sz w:val="32"/>
          <w:szCs w:val="32"/>
          <w:highlight w:val="none"/>
        </w:rPr>
        <w:t>652</w:t>
      </w:r>
      <w:r>
        <w:rPr>
          <w:rFonts w:hint="eastAsia" w:ascii="仿宋_GB2312" w:eastAsia="仿宋_GB2312"/>
          <w:color w:val="000000"/>
          <w:sz w:val="32"/>
          <w:szCs w:val="32"/>
          <w:highlight w:val="none"/>
        </w:rPr>
        <w:t>万元，基础薪酬占比</w:t>
      </w:r>
      <w:r>
        <w:rPr>
          <w:rFonts w:hint="eastAsia" w:ascii="仿宋_GB2312" w:eastAsia="仿宋_GB2312"/>
          <w:sz w:val="32"/>
          <w:szCs w:val="32"/>
          <w:highlight w:val="none"/>
        </w:rPr>
        <w:t>35</w:t>
      </w:r>
      <w:r>
        <w:rPr>
          <w:rFonts w:hint="eastAsia" w:ascii="仿宋_GB2312" w:eastAsia="仿宋_GB2312"/>
          <w:color w:val="000000"/>
          <w:sz w:val="32"/>
          <w:szCs w:val="32"/>
          <w:highlight w:val="none"/>
        </w:rPr>
        <w:t>%，符合《商业银行稳健薪酬监管指引》要求；非职工工资性支出</w:t>
      </w:r>
      <w:r>
        <w:rPr>
          <w:rFonts w:hint="eastAsia" w:ascii="仿宋_GB2312" w:eastAsia="仿宋_GB2312"/>
          <w:sz w:val="32"/>
          <w:szCs w:val="32"/>
          <w:highlight w:val="none"/>
        </w:rPr>
        <w:t>801.51</w:t>
      </w:r>
      <w:r>
        <w:rPr>
          <w:rFonts w:hint="eastAsia" w:ascii="仿宋_GB2312" w:eastAsia="仿宋_GB2312"/>
          <w:color w:val="000000"/>
          <w:sz w:val="32"/>
          <w:szCs w:val="32"/>
          <w:highlight w:val="none"/>
        </w:rPr>
        <w:t>万元，主要由员工伙食费、住房公积金、工作服、社保、工会经费、职工教育经费等组成。</w:t>
      </w:r>
    </w:p>
    <w:p>
      <w:pPr>
        <w:spacing w:line="560" w:lineRule="exact"/>
        <w:ind w:firstLine="643" w:firstLineChars="200"/>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（三）董事、监事和高级管理人员薪酬情况</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2022年度，本行董事、监事和高级管理人员薪酬合计</w:t>
      </w:r>
      <w:r>
        <w:rPr>
          <w:rFonts w:hint="eastAsia" w:ascii="仿宋_GB2312" w:eastAsia="仿宋_GB2312"/>
          <w:color w:val="000000"/>
          <w:sz w:val="32"/>
          <w:szCs w:val="32"/>
          <w:highlight w:val="none"/>
          <w:lang w:val="en-US" w:eastAsia="zh-CN"/>
        </w:rPr>
        <w:t>174.54</w:t>
      </w:r>
      <w:r>
        <w:rPr>
          <w:rFonts w:hint="eastAsia" w:ascii="仿宋_GB2312" w:eastAsia="仿宋_GB2312"/>
          <w:color w:val="000000"/>
          <w:sz w:val="32"/>
          <w:szCs w:val="32"/>
          <w:highlight w:val="none"/>
        </w:rPr>
        <w:t>万元。</w:t>
      </w:r>
    </w:p>
    <w:p>
      <w:pPr>
        <w:spacing w:line="560" w:lineRule="exact"/>
        <w:ind w:firstLine="640" w:firstLineChars="200"/>
        <w:jc w:val="left"/>
        <w:rPr>
          <w:rFonts w:ascii="黑体" w:hAnsi="黑体" w:eastAsia="黑体" w:cs="黑体"/>
          <w:bCs/>
          <w:sz w:val="32"/>
          <w:szCs w:val="32"/>
          <w:highlight w:val="none"/>
        </w:rPr>
      </w:pPr>
      <w:r>
        <w:rPr>
          <w:rFonts w:hint="eastAsia" w:ascii="黑体" w:hAnsi="黑体" w:eastAsia="黑体" w:cs="黑体"/>
          <w:bCs/>
          <w:sz w:val="32"/>
          <w:szCs w:val="32"/>
          <w:highlight w:val="none"/>
        </w:rPr>
        <w:t>六、社会责任履职情况</w:t>
      </w:r>
    </w:p>
    <w:p>
      <w:pPr>
        <w:spacing w:line="560" w:lineRule="exact"/>
        <w:ind w:firstLine="643" w:firstLineChars="200"/>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（一）支农支小开展情况</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为坚持支农支小，稳定就业，实现高质量发展。2022年，本行认真贯彻人民银行、银保监会《关于提升银行业服务实体经济质效的指导意见》等文件精神，始终坚持以支农支小为宗旨，明确树立了坚持服务三农、服务中小企业的市场定位。至2022年末，</w:t>
      </w:r>
      <w:r>
        <w:rPr>
          <w:rFonts w:ascii="仿宋_GB2312" w:eastAsia="仿宋_GB2312"/>
          <w:sz w:val="32"/>
          <w:szCs w:val="32"/>
          <w:highlight w:val="none"/>
        </w:rPr>
        <w:t>本行各项贷款余额17.08亿元，增幅3.86%，农户和小微贷款合计占比97.82%，成立以来累计发放农户和小微企业客户近9291户。投放小微企业贷款3639户，共计15.77亿元，投放信用贷款6.45亿元，占比37.75%。</w:t>
      </w:r>
    </w:p>
    <w:p>
      <w:pPr>
        <w:spacing w:line="560" w:lineRule="exact"/>
        <w:ind w:firstLine="643" w:firstLineChars="200"/>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（二）消费者权益保护工作开展情况</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2022年</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本行进一步履行消费者权益保护社会责任，开展金融知识下乡、反假币宣传、反洗钱宣传以及送贷下乡宣传活动，结合日常经营活动，在农贸菜场、中心商圈开展消费者权益保护知识普及和宣传工作。</w:t>
      </w:r>
      <w:r>
        <w:rPr>
          <w:rFonts w:hint="eastAsia" w:ascii="仿宋_GB2312" w:hAnsi="仿宋_GB2312" w:eastAsia="仿宋_GB2312" w:cs="仿宋_GB2312"/>
          <w:color w:val="000000"/>
          <w:sz w:val="32"/>
          <w:szCs w:val="32"/>
          <w:lang w:val="en-US" w:eastAsia="zh-CN"/>
        </w:rPr>
        <w:t>2022年，本行妥善处理消费者投诉咨询，共受理各类消费者来电、来信投诉咨询14件，主要为客户服务和不良贷款引发的投</w:t>
      </w:r>
      <w:bookmarkStart w:id="1" w:name="_GoBack"/>
      <w:bookmarkEnd w:id="1"/>
      <w:r>
        <w:rPr>
          <w:rFonts w:hint="eastAsia" w:ascii="仿宋_GB2312" w:hAnsi="仿宋_GB2312" w:eastAsia="仿宋_GB2312" w:cs="仿宋_GB2312"/>
          <w:color w:val="000000"/>
          <w:sz w:val="32"/>
          <w:szCs w:val="32"/>
          <w:lang w:val="en-US" w:eastAsia="zh-CN"/>
        </w:rPr>
        <w:t>诉咨询事件。</w:t>
      </w:r>
      <w:r>
        <w:rPr>
          <w:rFonts w:hint="default" w:ascii="仿宋_GB2312" w:hAnsi="仿宋_GB2312" w:eastAsia="仿宋_GB2312" w:cs="仿宋_GB2312"/>
          <w:color w:val="000000"/>
          <w:sz w:val="32"/>
          <w:szCs w:val="32"/>
          <w:lang w:val="en-US" w:eastAsia="zh-CN"/>
        </w:rPr>
        <w:t>对于受理的每一起投拆</w:t>
      </w:r>
      <w:r>
        <w:rPr>
          <w:rFonts w:hint="eastAsia" w:ascii="仿宋_GB2312" w:hAnsi="仿宋_GB2312" w:eastAsia="仿宋_GB2312" w:cs="仿宋_GB2312"/>
          <w:color w:val="000000"/>
          <w:sz w:val="32"/>
          <w:szCs w:val="32"/>
          <w:lang w:val="en-US" w:eastAsia="zh-CN"/>
        </w:rPr>
        <w:t>咨询</w:t>
      </w:r>
      <w:r>
        <w:rPr>
          <w:rFonts w:hint="default" w:ascii="仿宋_GB2312" w:hAnsi="仿宋_GB2312" w:eastAsia="仿宋_GB2312" w:cs="仿宋_GB2312"/>
          <w:color w:val="000000"/>
          <w:sz w:val="32"/>
          <w:szCs w:val="32"/>
          <w:lang w:val="en-US" w:eastAsia="zh-CN"/>
        </w:rPr>
        <w:t>事件，</w:t>
      </w:r>
      <w:r>
        <w:rPr>
          <w:rFonts w:hint="eastAsia" w:ascii="仿宋_GB2312" w:hAnsi="仿宋_GB2312" w:eastAsia="仿宋_GB2312" w:cs="仿宋_GB2312"/>
          <w:color w:val="000000"/>
          <w:sz w:val="32"/>
          <w:szCs w:val="32"/>
          <w:lang w:val="en-US" w:eastAsia="zh-CN"/>
        </w:rPr>
        <w:t>本</w:t>
      </w:r>
      <w:r>
        <w:rPr>
          <w:rFonts w:hint="default" w:ascii="仿宋_GB2312" w:hAnsi="仿宋_GB2312" w:eastAsia="仿宋_GB2312" w:cs="仿宋_GB2312"/>
          <w:color w:val="000000"/>
          <w:sz w:val="32"/>
          <w:szCs w:val="32"/>
          <w:lang w:val="en-US" w:eastAsia="zh-CN"/>
        </w:rPr>
        <w:t>行均高度重视，在受理投诉</w:t>
      </w:r>
      <w:r>
        <w:rPr>
          <w:rFonts w:hint="eastAsia" w:ascii="仿宋_GB2312" w:hAnsi="仿宋_GB2312" w:eastAsia="仿宋_GB2312" w:cs="仿宋_GB2312"/>
          <w:color w:val="000000"/>
          <w:sz w:val="32"/>
          <w:szCs w:val="32"/>
          <w:lang w:val="en-US" w:eastAsia="zh-CN"/>
        </w:rPr>
        <w:t>咨询</w:t>
      </w:r>
      <w:r>
        <w:rPr>
          <w:rFonts w:hint="default" w:ascii="仿宋_GB2312" w:hAnsi="仿宋_GB2312" w:eastAsia="仿宋_GB2312" w:cs="仿宋_GB2312"/>
          <w:color w:val="000000"/>
          <w:sz w:val="32"/>
          <w:szCs w:val="32"/>
          <w:lang w:val="en-US" w:eastAsia="zh-CN"/>
        </w:rPr>
        <w:t>后的第一时间即向金融消费者权益保</w:t>
      </w:r>
      <w:r>
        <w:rPr>
          <w:rFonts w:hint="eastAsia" w:ascii="仿宋_GB2312" w:hAnsi="仿宋_GB2312" w:eastAsia="仿宋_GB2312" w:cs="仿宋_GB2312"/>
          <w:color w:val="000000"/>
          <w:sz w:val="32"/>
          <w:szCs w:val="32"/>
          <w:lang w:val="en-US" w:eastAsia="zh-CN"/>
        </w:rPr>
        <w:t>护</w:t>
      </w:r>
      <w:r>
        <w:rPr>
          <w:rFonts w:hint="default" w:ascii="仿宋_GB2312" w:hAnsi="仿宋_GB2312" w:eastAsia="仿宋_GB2312" w:cs="仿宋_GB2312"/>
          <w:color w:val="000000"/>
          <w:sz w:val="32"/>
          <w:szCs w:val="32"/>
          <w:lang w:val="en-US" w:eastAsia="zh-CN"/>
        </w:rPr>
        <w:t>工作领导小组请示汇报，同时迅速派专人核实情况，按照流程完成处理并进行相关后续回访</w:t>
      </w:r>
      <w:r>
        <w:rPr>
          <w:rFonts w:hint="eastAsia" w:ascii="仿宋_GB2312" w:hAnsi="仿宋_GB2312" w:eastAsia="仿宋_GB2312" w:cs="仿宋_GB2312"/>
          <w:color w:val="000000"/>
          <w:sz w:val="32"/>
          <w:szCs w:val="32"/>
          <w:lang w:val="en-US" w:eastAsia="zh-CN"/>
        </w:rPr>
        <w:t>。</w:t>
      </w:r>
    </w:p>
    <w:p>
      <w:pPr>
        <w:spacing w:line="560" w:lineRule="exact"/>
        <w:ind w:firstLine="640" w:firstLineChars="200"/>
        <w:jc w:val="left"/>
        <w:rPr>
          <w:rFonts w:ascii="黑体" w:hAnsi="黑体" w:eastAsia="黑体" w:cs="黑体"/>
          <w:bCs/>
          <w:sz w:val="32"/>
          <w:szCs w:val="32"/>
          <w:highlight w:val="none"/>
        </w:rPr>
      </w:pPr>
      <w:r>
        <w:rPr>
          <w:rFonts w:hint="eastAsia" w:ascii="黑体" w:hAnsi="黑体" w:eastAsia="黑体" w:cs="黑体"/>
          <w:bCs/>
          <w:sz w:val="32"/>
          <w:szCs w:val="32"/>
          <w:highlight w:val="none"/>
        </w:rPr>
        <w:t>七、面临的风险及相应对策</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本行在报告期及未来的经营活动中面临的风险主要是信用风险、操作风险和流动性风险。现将本行2022年四大类风险情况披露如下：</w:t>
      </w:r>
    </w:p>
    <w:p>
      <w:pPr>
        <w:spacing w:line="560" w:lineRule="exact"/>
        <w:ind w:firstLine="643" w:firstLineChars="200"/>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（一）信用风险管理</w:t>
      </w:r>
    </w:p>
    <w:p>
      <w:pPr>
        <w:spacing w:line="56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1、信贷资产质量情况</w:t>
      </w:r>
    </w:p>
    <w:p>
      <w:pPr>
        <w:spacing w:line="560" w:lineRule="exact"/>
        <w:ind w:firstLine="640" w:firstLineChars="200"/>
        <w:rPr>
          <w:rFonts w:ascii="仿宋_GB2312" w:eastAsia="仿宋_GB2312"/>
          <w:sz w:val="32"/>
          <w:szCs w:val="32"/>
          <w:highlight w:val="none"/>
        </w:rPr>
      </w:pPr>
      <w:r>
        <w:rPr>
          <w:rFonts w:ascii="仿宋_GB2312" w:eastAsia="仿宋_GB2312"/>
          <w:sz w:val="32"/>
          <w:szCs w:val="32"/>
          <w:highlight w:val="none"/>
        </w:rPr>
        <w:t>202</w:t>
      </w:r>
      <w:r>
        <w:rPr>
          <w:rFonts w:hint="eastAsia" w:ascii="仿宋_GB2312" w:eastAsia="仿宋_GB2312"/>
          <w:sz w:val="32"/>
          <w:szCs w:val="32"/>
          <w:highlight w:val="none"/>
        </w:rPr>
        <w:t>2</w:t>
      </w:r>
      <w:r>
        <w:rPr>
          <w:rFonts w:ascii="仿宋_GB2312" w:eastAsia="仿宋_GB2312"/>
          <w:sz w:val="32"/>
          <w:szCs w:val="32"/>
          <w:highlight w:val="none"/>
        </w:rPr>
        <w:t>年宏观环境复杂多变，使本行不良贷款处置、反弹压力仍然存在。结合监管部门的监管政策落地及</w:t>
      </w:r>
      <w:r>
        <w:rPr>
          <w:rFonts w:hint="eastAsia" w:ascii="仿宋_GB2312" w:eastAsia="仿宋_GB2312"/>
          <w:sz w:val="32"/>
          <w:szCs w:val="32"/>
          <w:highlight w:val="none"/>
        </w:rPr>
        <w:t>“</w:t>
      </w:r>
      <w:r>
        <w:rPr>
          <w:rFonts w:ascii="仿宋_GB2312" w:eastAsia="仿宋_GB2312"/>
          <w:sz w:val="32"/>
          <w:szCs w:val="32"/>
          <w:highlight w:val="none"/>
        </w:rPr>
        <w:t>治乱象</w:t>
      </w:r>
      <w:r>
        <w:rPr>
          <w:rFonts w:hint="eastAsia" w:ascii="仿宋_GB2312" w:eastAsia="仿宋_GB2312"/>
          <w:sz w:val="32"/>
          <w:szCs w:val="32"/>
          <w:highlight w:val="none"/>
        </w:rPr>
        <w:t>”</w:t>
      </w:r>
      <w:r>
        <w:rPr>
          <w:rFonts w:ascii="仿宋_GB2312" w:eastAsia="仿宋_GB2312"/>
          <w:sz w:val="32"/>
          <w:szCs w:val="32"/>
          <w:highlight w:val="none"/>
        </w:rPr>
        <w:t>整治工作，本行董事会和经营管理层以健全内控管理、加强机制建设、做好重点领域风险防范和处臵、防范化解重大风险攻坚战为重点，进一步加强风险管控措施，信贷资产质量得到有效提升，全年无案件发生，不良率</w:t>
      </w:r>
      <w:r>
        <w:rPr>
          <w:rFonts w:hint="eastAsia" w:ascii="仿宋_GB2312" w:eastAsia="仿宋_GB2312"/>
          <w:sz w:val="32"/>
          <w:szCs w:val="32"/>
          <w:highlight w:val="none"/>
        </w:rPr>
        <w:t>有效</w:t>
      </w:r>
      <w:r>
        <w:rPr>
          <w:rFonts w:ascii="仿宋_GB2312" w:eastAsia="仿宋_GB2312"/>
          <w:sz w:val="32"/>
          <w:szCs w:val="32"/>
          <w:highlight w:val="none"/>
        </w:rPr>
        <w:t>降低。截至202</w:t>
      </w:r>
      <w:r>
        <w:rPr>
          <w:rFonts w:hint="eastAsia" w:ascii="仿宋_GB2312" w:eastAsia="仿宋_GB2312"/>
          <w:sz w:val="32"/>
          <w:szCs w:val="32"/>
          <w:highlight w:val="none"/>
        </w:rPr>
        <w:t>2</w:t>
      </w:r>
      <w:r>
        <w:rPr>
          <w:rFonts w:ascii="仿宋_GB2312" w:eastAsia="仿宋_GB2312"/>
          <w:sz w:val="32"/>
          <w:szCs w:val="32"/>
          <w:highlight w:val="none"/>
        </w:rPr>
        <w:t>年末，五级不良贷款余额2371.17万元，比年初</w:t>
      </w:r>
      <w:r>
        <w:rPr>
          <w:rFonts w:hint="eastAsia" w:ascii="仿宋_GB2312" w:eastAsia="仿宋_GB2312"/>
          <w:sz w:val="32"/>
          <w:szCs w:val="32"/>
          <w:highlight w:val="none"/>
        </w:rPr>
        <w:t>下降</w:t>
      </w:r>
      <w:r>
        <w:rPr>
          <w:rFonts w:ascii="仿宋_GB2312" w:eastAsia="仿宋_GB2312"/>
          <w:sz w:val="32"/>
          <w:szCs w:val="32"/>
          <w:highlight w:val="none"/>
        </w:rPr>
        <w:t>232.49万元，不良贷款率</w:t>
      </w:r>
      <w:r>
        <w:rPr>
          <w:rFonts w:hint="eastAsia" w:ascii="仿宋_GB2312" w:eastAsia="仿宋_GB2312"/>
          <w:sz w:val="32"/>
          <w:szCs w:val="32"/>
          <w:highlight w:val="none"/>
        </w:rPr>
        <w:t>1.39</w:t>
      </w:r>
      <w:r>
        <w:rPr>
          <w:rFonts w:ascii="仿宋_GB2312" w:eastAsia="仿宋_GB2312"/>
          <w:sz w:val="32"/>
          <w:szCs w:val="32"/>
          <w:highlight w:val="none"/>
        </w:rPr>
        <w:t>%，比年初</w:t>
      </w:r>
      <w:r>
        <w:rPr>
          <w:rFonts w:hint="eastAsia" w:ascii="仿宋_GB2312" w:eastAsia="仿宋_GB2312"/>
          <w:sz w:val="32"/>
          <w:szCs w:val="32"/>
          <w:highlight w:val="none"/>
        </w:rPr>
        <w:t>下降0.19</w:t>
      </w:r>
      <w:r>
        <w:rPr>
          <w:rFonts w:ascii="仿宋_GB2312" w:eastAsia="仿宋_GB2312"/>
          <w:sz w:val="32"/>
          <w:szCs w:val="32"/>
          <w:highlight w:val="none"/>
        </w:rPr>
        <w:t>个百分点。按五级分类看，次级类贷款余额667.05万元，占比</w:t>
      </w:r>
      <w:r>
        <w:rPr>
          <w:rFonts w:hint="eastAsia" w:ascii="仿宋_GB2312" w:eastAsia="仿宋_GB2312"/>
          <w:sz w:val="32"/>
          <w:szCs w:val="32"/>
          <w:highlight w:val="none"/>
        </w:rPr>
        <w:t>0.39</w:t>
      </w:r>
      <w:r>
        <w:rPr>
          <w:rFonts w:ascii="仿宋_GB2312" w:eastAsia="仿宋_GB2312"/>
          <w:sz w:val="32"/>
          <w:szCs w:val="32"/>
          <w:highlight w:val="none"/>
        </w:rPr>
        <w:t>%，分别比年初增加268.17万元、</w:t>
      </w:r>
      <w:r>
        <w:rPr>
          <w:rFonts w:hint="eastAsia" w:ascii="仿宋_GB2312" w:eastAsia="仿宋_GB2312"/>
          <w:sz w:val="32"/>
          <w:szCs w:val="32"/>
          <w:highlight w:val="none"/>
        </w:rPr>
        <w:t>0.15个百分点</w:t>
      </w:r>
      <w:r>
        <w:rPr>
          <w:rFonts w:ascii="仿宋_GB2312" w:eastAsia="仿宋_GB2312"/>
          <w:sz w:val="32"/>
          <w:szCs w:val="32"/>
          <w:highlight w:val="none"/>
        </w:rPr>
        <w:t>；可疑类贷款余额</w:t>
      </w:r>
      <w:r>
        <w:rPr>
          <w:rFonts w:hint="eastAsia" w:ascii="仿宋_GB2312" w:eastAsia="仿宋_GB2312"/>
          <w:sz w:val="32"/>
          <w:szCs w:val="32"/>
          <w:highlight w:val="none"/>
        </w:rPr>
        <w:t>1704.12</w:t>
      </w:r>
      <w:r>
        <w:rPr>
          <w:rFonts w:ascii="仿宋_GB2312" w:eastAsia="仿宋_GB2312"/>
          <w:sz w:val="32"/>
          <w:szCs w:val="32"/>
          <w:highlight w:val="none"/>
        </w:rPr>
        <w:t>万元，占比</w:t>
      </w:r>
      <w:r>
        <w:rPr>
          <w:rFonts w:hint="eastAsia" w:ascii="仿宋_GB2312" w:eastAsia="仿宋_GB2312"/>
          <w:sz w:val="32"/>
          <w:szCs w:val="32"/>
          <w:highlight w:val="none"/>
        </w:rPr>
        <w:t>1.01</w:t>
      </w:r>
      <w:r>
        <w:rPr>
          <w:rFonts w:ascii="仿宋_GB2312" w:eastAsia="仿宋_GB2312"/>
          <w:sz w:val="32"/>
          <w:szCs w:val="32"/>
          <w:highlight w:val="none"/>
        </w:rPr>
        <w:t>%，分别比年初减少</w:t>
      </w:r>
      <w:r>
        <w:rPr>
          <w:rFonts w:hint="eastAsia" w:ascii="仿宋_GB2312" w:eastAsia="仿宋_GB2312"/>
          <w:sz w:val="32"/>
          <w:szCs w:val="32"/>
          <w:highlight w:val="none"/>
        </w:rPr>
        <w:t>500.66</w:t>
      </w:r>
      <w:r>
        <w:rPr>
          <w:rFonts w:ascii="仿宋_GB2312" w:eastAsia="仿宋_GB2312"/>
          <w:sz w:val="32"/>
          <w:szCs w:val="32"/>
          <w:highlight w:val="none"/>
        </w:rPr>
        <w:t>万元、</w:t>
      </w:r>
      <w:r>
        <w:rPr>
          <w:rFonts w:hint="eastAsia" w:ascii="仿宋_GB2312" w:eastAsia="仿宋_GB2312"/>
          <w:sz w:val="32"/>
          <w:szCs w:val="32"/>
          <w:highlight w:val="none"/>
        </w:rPr>
        <w:t>0.35</w:t>
      </w:r>
      <w:r>
        <w:rPr>
          <w:rFonts w:ascii="仿宋_GB2312" w:eastAsia="仿宋_GB2312"/>
          <w:sz w:val="32"/>
          <w:szCs w:val="32"/>
          <w:highlight w:val="none"/>
        </w:rPr>
        <w:t>个百分点；损失类贷款余额0万元，占比与年初持平。全年新发生不良贷款</w:t>
      </w:r>
      <w:r>
        <w:rPr>
          <w:rFonts w:hint="eastAsia" w:ascii="仿宋_GB2312" w:eastAsia="仿宋_GB2312"/>
          <w:sz w:val="32"/>
          <w:szCs w:val="32"/>
          <w:highlight w:val="none"/>
        </w:rPr>
        <w:t>1804.01</w:t>
      </w:r>
      <w:r>
        <w:rPr>
          <w:rFonts w:ascii="仿宋_GB2312" w:eastAsia="仿宋_GB2312"/>
          <w:sz w:val="32"/>
          <w:szCs w:val="32"/>
          <w:highlight w:val="none"/>
        </w:rPr>
        <w:t>万元，累计清收五级不良贷款</w:t>
      </w:r>
      <w:r>
        <w:rPr>
          <w:rFonts w:hint="eastAsia" w:ascii="仿宋_GB2312" w:eastAsia="仿宋_GB2312"/>
          <w:sz w:val="32"/>
          <w:szCs w:val="32"/>
          <w:highlight w:val="none"/>
        </w:rPr>
        <w:t>2036.50</w:t>
      </w:r>
      <w:r>
        <w:rPr>
          <w:rFonts w:ascii="仿宋_GB2312" w:eastAsia="仿宋_GB2312"/>
          <w:sz w:val="32"/>
          <w:szCs w:val="32"/>
          <w:highlight w:val="none"/>
        </w:rPr>
        <w:t>万元。</w:t>
      </w:r>
    </w:p>
    <w:p>
      <w:pPr>
        <w:spacing w:line="56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2、单一集团客户授信集中度情况</w:t>
      </w:r>
    </w:p>
    <w:p>
      <w:pPr>
        <w:spacing w:line="560" w:lineRule="exact"/>
        <w:ind w:firstLine="640" w:firstLineChars="200"/>
        <w:rPr>
          <w:rFonts w:ascii="仿宋_GB2312" w:eastAsia="仿宋_GB2312"/>
          <w:sz w:val="32"/>
          <w:szCs w:val="32"/>
          <w:highlight w:val="none"/>
        </w:rPr>
      </w:pPr>
      <w:r>
        <w:rPr>
          <w:rFonts w:ascii="仿宋_GB2312" w:eastAsia="仿宋_GB2312"/>
          <w:sz w:val="32"/>
          <w:szCs w:val="32"/>
          <w:highlight w:val="none"/>
        </w:rPr>
        <w:t>坚持以</w:t>
      </w:r>
      <w:r>
        <w:rPr>
          <w:rFonts w:hint="eastAsia" w:ascii="仿宋_GB2312" w:eastAsia="仿宋_GB2312"/>
          <w:sz w:val="32"/>
          <w:szCs w:val="32"/>
          <w:highlight w:val="none"/>
        </w:rPr>
        <w:t>“</w:t>
      </w:r>
      <w:r>
        <w:rPr>
          <w:rFonts w:ascii="仿宋_GB2312" w:eastAsia="仿宋_GB2312"/>
          <w:sz w:val="32"/>
          <w:szCs w:val="32"/>
          <w:highlight w:val="none"/>
        </w:rPr>
        <w:t>小额、分散、流动</w:t>
      </w:r>
      <w:r>
        <w:rPr>
          <w:rFonts w:hint="eastAsia" w:ascii="仿宋_GB2312" w:eastAsia="仿宋_GB2312"/>
          <w:sz w:val="32"/>
          <w:szCs w:val="32"/>
          <w:highlight w:val="none"/>
        </w:rPr>
        <w:t>”</w:t>
      </w:r>
      <w:r>
        <w:rPr>
          <w:rFonts w:ascii="仿宋_GB2312" w:eastAsia="仿宋_GB2312"/>
          <w:sz w:val="32"/>
          <w:szCs w:val="32"/>
          <w:highlight w:val="none"/>
        </w:rPr>
        <w:t>为原则，坚持服务</w:t>
      </w:r>
      <w:r>
        <w:rPr>
          <w:rFonts w:hint="eastAsia" w:ascii="仿宋_GB2312" w:eastAsia="仿宋_GB2312"/>
          <w:sz w:val="32"/>
          <w:szCs w:val="32"/>
          <w:highlight w:val="none"/>
        </w:rPr>
        <w:t>“</w:t>
      </w:r>
      <w:r>
        <w:rPr>
          <w:rFonts w:ascii="仿宋_GB2312" w:eastAsia="仿宋_GB2312"/>
          <w:sz w:val="32"/>
          <w:szCs w:val="32"/>
          <w:highlight w:val="none"/>
        </w:rPr>
        <w:t>三农</w:t>
      </w:r>
      <w:r>
        <w:rPr>
          <w:rFonts w:hint="eastAsia" w:ascii="仿宋_GB2312" w:eastAsia="仿宋_GB2312"/>
          <w:sz w:val="32"/>
          <w:szCs w:val="32"/>
          <w:highlight w:val="none"/>
        </w:rPr>
        <w:t>”</w:t>
      </w:r>
      <w:r>
        <w:rPr>
          <w:rFonts w:ascii="仿宋_GB2312" w:eastAsia="仿宋_GB2312"/>
          <w:sz w:val="32"/>
          <w:szCs w:val="32"/>
          <w:highlight w:val="none"/>
        </w:rPr>
        <w:t>和小微企业的市场定位，坚定本土化、小微化的普惠方向，专注服务实体经济发展，审慎大额贷款投放，严控500万元以上大额授信准入，将目光放在惠及更多客户的农户、社区居民及实体小微企业上，防止盲目求大冲动，回归支持与自身发展、支持能力相匹配客户的本位。202</w:t>
      </w:r>
      <w:r>
        <w:rPr>
          <w:rFonts w:hint="eastAsia" w:ascii="仿宋_GB2312" w:eastAsia="仿宋_GB2312"/>
          <w:sz w:val="32"/>
          <w:szCs w:val="32"/>
          <w:highlight w:val="none"/>
        </w:rPr>
        <w:t>2</w:t>
      </w:r>
      <w:r>
        <w:rPr>
          <w:rFonts w:ascii="仿宋_GB2312" w:eastAsia="仿宋_GB2312"/>
          <w:sz w:val="32"/>
          <w:szCs w:val="32"/>
          <w:highlight w:val="none"/>
        </w:rPr>
        <w:t>年末，本行一级资本净额31524.13万元，最大单一客户</w:t>
      </w:r>
      <w:r>
        <w:rPr>
          <w:rFonts w:hint="eastAsia" w:ascii="仿宋_GB2312" w:eastAsia="仿宋_GB2312"/>
          <w:sz w:val="32"/>
          <w:szCs w:val="32"/>
          <w:highlight w:val="none"/>
        </w:rPr>
        <w:t>风险暴露总和</w:t>
      </w:r>
      <w:r>
        <w:rPr>
          <w:rFonts w:ascii="仿宋_GB2312" w:eastAsia="仿宋_GB2312"/>
          <w:sz w:val="32"/>
          <w:szCs w:val="32"/>
          <w:highlight w:val="none"/>
        </w:rPr>
        <w:t>531.55万元，占一级资本净额的</w:t>
      </w:r>
      <w:r>
        <w:rPr>
          <w:rFonts w:hint="eastAsia" w:ascii="仿宋_GB2312" w:eastAsia="仿宋_GB2312"/>
          <w:sz w:val="32"/>
          <w:szCs w:val="32"/>
          <w:highlight w:val="none"/>
        </w:rPr>
        <w:t>1.69</w:t>
      </w:r>
      <w:r>
        <w:rPr>
          <w:rFonts w:ascii="仿宋_GB2312" w:eastAsia="仿宋_GB2312"/>
          <w:sz w:val="32"/>
          <w:szCs w:val="32"/>
          <w:highlight w:val="none"/>
        </w:rPr>
        <w:t>%，远小于银保监会的监管标准。</w:t>
      </w:r>
    </w:p>
    <w:p>
      <w:pPr>
        <w:spacing w:line="560" w:lineRule="exact"/>
        <w:ind w:firstLine="643" w:firstLineChars="200"/>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（二）流动性风险管理</w:t>
      </w:r>
    </w:p>
    <w:p>
      <w:pPr>
        <w:spacing w:line="560" w:lineRule="exact"/>
        <w:ind w:firstLine="640" w:firstLineChars="200"/>
        <w:rPr>
          <w:rFonts w:ascii="仿宋_GB2312" w:eastAsia="仿宋_GB2312"/>
          <w:sz w:val="32"/>
          <w:szCs w:val="32"/>
          <w:highlight w:val="none"/>
        </w:rPr>
      </w:pPr>
      <w:r>
        <w:rPr>
          <w:rFonts w:ascii="仿宋_GB2312" w:eastAsia="仿宋_GB2312"/>
          <w:sz w:val="32"/>
          <w:szCs w:val="32"/>
          <w:highlight w:val="none"/>
        </w:rPr>
        <w:t>报告期末，本行流动性比例为</w:t>
      </w:r>
      <w:r>
        <w:rPr>
          <w:rFonts w:hint="eastAsia" w:ascii="仿宋_GB2312" w:eastAsia="仿宋_GB2312"/>
          <w:sz w:val="32"/>
          <w:szCs w:val="32"/>
          <w:highlight w:val="none"/>
        </w:rPr>
        <w:t>57.52</w:t>
      </w:r>
      <w:r>
        <w:rPr>
          <w:rFonts w:ascii="仿宋_GB2312" w:eastAsia="仿宋_GB2312"/>
          <w:sz w:val="32"/>
          <w:szCs w:val="32"/>
          <w:highlight w:val="none"/>
        </w:rPr>
        <w:t>%，90天内流动性缺口率为</w:t>
      </w:r>
      <w:r>
        <w:rPr>
          <w:rFonts w:hint="eastAsia" w:ascii="仿宋_GB2312" w:eastAsia="仿宋_GB2312"/>
          <w:sz w:val="32"/>
          <w:szCs w:val="32"/>
          <w:highlight w:val="none"/>
        </w:rPr>
        <w:t>12.34</w:t>
      </w:r>
      <w:r>
        <w:rPr>
          <w:rFonts w:ascii="仿宋_GB2312" w:eastAsia="仿宋_GB2312"/>
          <w:sz w:val="32"/>
          <w:szCs w:val="32"/>
          <w:highlight w:val="none"/>
        </w:rPr>
        <w:t>%。</w:t>
      </w:r>
      <w:r>
        <w:rPr>
          <w:rFonts w:hint="eastAsia" w:ascii="仿宋_GB2312" w:eastAsia="仿宋_GB2312"/>
          <w:sz w:val="32"/>
          <w:szCs w:val="32"/>
          <w:highlight w:val="none"/>
        </w:rPr>
        <w:t>压力测试显示，存款流失因素对本行流动性风险影响较大，同业存款可获得性下降、法定存款准备金率上调、同业类资产违约等因素对本行流动性风险影响相对较小。流动性风险防控的重点工作在于保持存款稳定性。</w:t>
      </w:r>
    </w:p>
    <w:p>
      <w:pPr>
        <w:spacing w:line="560" w:lineRule="exact"/>
        <w:ind w:firstLine="640" w:firstLineChars="200"/>
        <w:rPr>
          <w:rFonts w:ascii="仿宋_GB2312" w:eastAsia="仿宋_GB2312"/>
          <w:sz w:val="32"/>
          <w:szCs w:val="32"/>
        </w:rPr>
      </w:pPr>
      <w:r>
        <w:rPr>
          <w:rFonts w:ascii="仿宋_GB2312" w:eastAsia="仿宋_GB2312"/>
          <w:sz w:val="32"/>
          <w:szCs w:val="32"/>
          <w:highlight w:val="none"/>
        </w:rPr>
        <w:t>本行认真开展流动性风险管理工作，制订</w:t>
      </w:r>
      <w:r>
        <w:rPr>
          <w:rFonts w:hint="eastAsia" w:ascii="仿宋_GB2312" w:eastAsia="仿宋_GB2312"/>
          <w:sz w:val="32"/>
          <w:szCs w:val="32"/>
          <w:highlight w:val="none"/>
        </w:rPr>
        <w:t>了</w:t>
      </w:r>
      <w:r>
        <w:rPr>
          <w:rFonts w:ascii="仿宋_GB2312" w:eastAsia="仿宋_GB2312"/>
          <w:sz w:val="32"/>
          <w:szCs w:val="32"/>
          <w:highlight w:val="none"/>
        </w:rPr>
        <w:t>《</w:t>
      </w:r>
      <w:r>
        <w:rPr>
          <w:rFonts w:hint="eastAsia" w:ascii="仿宋_GB2312" w:eastAsia="仿宋_GB2312"/>
          <w:sz w:val="32"/>
          <w:szCs w:val="32"/>
          <w:highlight w:val="none"/>
        </w:rPr>
        <w:t>浙江柯桥联合村镇银行股份有限公司流动性风险管理办法</w:t>
      </w:r>
      <w:r>
        <w:rPr>
          <w:rFonts w:ascii="仿宋_GB2312" w:eastAsia="仿宋_GB2312"/>
          <w:sz w:val="32"/>
          <w:szCs w:val="32"/>
          <w:highlight w:val="none"/>
        </w:rPr>
        <w:t>》、《</w:t>
      </w:r>
      <w:r>
        <w:rPr>
          <w:rFonts w:hint="eastAsia" w:ascii="仿宋_GB2312" w:eastAsia="仿宋_GB2312"/>
          <w:sz w:val="32"/>
          <w:szCs w:val="32"/>
          <w:highlight w:val="none"/>
        </w:rPr>
        <w:t>浙江柯桥联合村镇银行股份有限公司异常取款流动性风险突发事件专项</w:t>
      </w:r>
      <w:r>
        <w:rPr>
          <w:rFonts w:hint="eastAsia" w:ascii="仿宋_GB2312" w:eastAsia="仿宋_GB2312"/>
          <w:sz w:val="32"/>
          <w:szCs w:val="32"/>
        </w:rPr>
        <w:t>应急预案</w:t>
      </w:r>
      <w:r>
        <w:rPr>
          <w:rFonts w:ascii="仿宋_GB2312" w:eastAsia="仿宋_GB2312"/>
          <w:sz w:val="32"/>
          <w:szCs w:val="32"/>
        </w:rPr>
        <w:t>》等一系列流动性风险管理办法，进一步满足流动性管理的内控要求；通过日常流动性指标监测，按季开展流动性压力测试，按年举行流动性风险管理应急演练等措施，进一步提升了本行流动性风险管理及处置突发性事件的快速反应及处置能力。本行与主发起行杭州联合银行签订了《流动性支持协议》的同时，也加入了</w:t>
      </w:r>
      <w:r>
        <w:rPr>
          <w:rFonts w:hint="eastAsia" w:ascii="仿宋_GB2312" w:eastAsia="仿宋_GB2312"/>
          <w:sz w:val="32"/>
          <w:szCs w:val="32"/>
        </w:rPr>
        <w:t>绍兴</w:t>
      </w:r>
      <w:r>
        <w:rPr>
          <w:rFonts w:ascii="仿宋_GB2312" w:eastAsia="仿宋_GB2312"/>
          <w:sz w:val="32"/>
          <w:szCs w:val="32"/>
        </w:rPr>
        <w:t>辖内中小法人机构流动性互助工作机制，当出现流动性风险时，能及时得到流动性互助支持，确保本行保持较高的流动性与营运安全。</w:t>
      </w:r>
    </w:p>
    <w:p>
      <w:pPr>
        <w:spacing w:line="560" w:lineRule="exact"/>
        <w:ind w:firstLine="643" w:firstLineChars="200"/>
        <w:rPr>
          <w:rFonts w:ascii="Calibri" w:hAnsi="Calibri" w:eastAsia="仿宋_GB2312" w:cs="Times New Roman"/>
          <w:b/>
          <w:sz w:val="32"/>
          <w:szCs w:val="32"/>
        </w:rPr>
      </w:pPr>
      <w:r>
        <w:rPr>
          <w:rFonts w:hint="eastAsia" w:ascii="Calibri" w:hAnsi="Calibri" w:eastAsia="仿宋_GB2312" w:cs="Times New Roman"/>
          <w:b/>
          <w:sz w:val="32"/>
          <w:szCs w:val="32"/>
        </w:rPr>
        <w:t>防范流动性风险的主要措施：</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1、建立健全流动性风险管理组织架构</w:t>
      </w:r>
    </w:p>
    <w:p>
      <w:pPr>
        <w:spacing w:line="560" w:lineRule="exact"/>
        <w:ind w:firstLine="640" w:firstLineChars="200"/>
        <w:rPr>
          <w:rFonts w:ascii="Calibri" w:hAnsi="Calibri" w:eastAsia="仿宋_GB2312" w:cs="Times New Roman"/>
          <w:sz w:val="32"/>
          <w:szCs w:val="32"/>
        </w:rPr>
      </w:pPr>
      <w:r>
        <w:rPr>
          <w:rFonts w:hint="eastAsia" w:eastAsia="仿宋_GB2312"/>
          <w:sz w:val="32"/>
          <w:szCs w:val="32"/>
        </w:rPr>
        <w:t>本行</w:t>
      </w:r>
      <w:r>
        <w:rPr>
          <w:rFonts w:hint="eastAsia" w:ascii="Calibri" w:hAnsi="Calibri" w:eastAsia="仿宋_GB2312" w:cs="Times New Roman"/>
          <w:sz w:val="32"/>
          <w:szCs w:val="32"/>
        </w:rPr>
        <w:t>建立了与流动性风险特点相适应的组织架构，明确了董事会、监事会、高级管理层、资产负债管理委员会、各职能部室的流动性风险管理职责，成立了相关领导小组，由行长任组长，副组长由副行长担任，组员由风险合规部、财务运营部、业务管理部、内审部负责人担任。风险</w:t>
      </w:r>
      <w:r>
        <w:rPr>
          <w:rFonts w:hint="eastAsia" w:eastAsia="仿宋_GB2312"/>
          <w:sz w:val="32"/>
          <w:szCs w:val="32"/>
        </w:rPr>
        <w:t>合规</w:t>
      </w:r>
      <w:r>
        <w:rPr>
          <w:rFonts w:hint="eastAsia" w:ascii="Calibri" w:hAnsi="Calibri" w:eastAsia="仿宋_GB2312" w:cs="Times New Roman"/>
          <w:sz w:val="32"/>
          <w:szCs w:val="32"/>
        </w:rPr>
        <w:t>部为流动性风险管理的牵头部门，具体承担领导小组的日常事务工作。日常流动性监测工作由</w:t>
      </w:r>
      <w:r>
        <w:rPr>
          <w:rFonts w:hint="eastAsia" w:eastAsia="仿宋_GB2312"/>
          <w:sz w:val="32"/>
          <w:szCs w:val="32"/>
        </w:rPr>
        <w:t>财务运营</w:t>
      </w:r>
      <w:r>
        <w:rPr>
          <w:rFonts w:hint="eastAsia" w:ascii="Calibri" w:hAnsi="Calibri" w:eastAsia="仿宋_GB2312" w:cs="Times New Roman"/>
          <w:sz w:val="32"/>
          <w:szCs w:val="32"/>
        </w:rPr>
        <w:t>部和业务管理部具体负责。主要通过以下措施进行流动性日常监测：运营管理部负责监控本行资产负债匹配情况，负责本行头寸管理，向同业申请和办理授信额度，负责准备金率、备付率及全行头寸的日常管理；同时建立大额资金进出报告制度，按日监测大额资金进出情况，做好资金调拨；业务管理部控制中长期贷款发放比例及存贷比例，合理配置部份票据，便于头寸的调剂。</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2、建立健全流动性风险预警机制</w:t>
      </w:r>
    </w:p>
    <w:p>
      <w:pPr>
        <w:spacing w:line="560" w:lineRule="exact"/>
        <w:ind w:firstLine="640" w:firstLineChars="200"/>
        <w:rPr>
          <w:rFonts w:eastAsia="仿宋_GB2312"/>
          <w:sz w:val="32"/>
          <w:szCs w:val="32"/>
        </w:rPr>
      </w:pPr>
      <w:r>
        <w:rPr>
          <w:rFonts w:hint="eastAsia" w:eastAsia="仿宋_GB2312"/>
          <w:sz w:val="32"/>
          <w:szCs w:val="32"/>
        </w:rPr>
        <w:t>一方面是</w:t>
      </w:r>
      <w:r>
        <w:rPr>
          <w:rFonts w:hint="eastAsia" w:ascii="Calibri" w:hAnsi="Calibri" w:eastAsia="仿宋_GB2312" w:cs="Times New Roman"/>
          <w:sz w:val="32"/>
          <w:szCs w:val="32"/>
        </w:rPr>
        <w:t>做好对资产负债流动性的预测和分析，通过对流动性供给和需求的变化情况的预测和分析，完成对潜在流动性的衡量</w:t>
      </w:r>
      <w:r>
        <w:rPr>
          <w:rFonts w:hint="eastAsia" w:eastAsia="仿宋_GB2312"/>
          <w:sz w:val="32"/>
          <w:szCs w:val="32"/>
        </w:rPr>
        <w:t>；另一方面</w:t>
      </w:r>
      <w:r>
        <w:rPr>
          <w:rFonts w:hint="eastAsia" w:ascii="Calibri" w:hAnsi="Calibri" w:eastAsia="仿宋_GB2312" w:cs="Times New Roman"/>
          <w:sz w:val="32"/>
          <w:szCs w:val="32"/>
        </w:rPr>
        <w:t>定期开展流动性风险压力测试。根据监管部门加强流动性管理的相关要求，按照现代化商业流动性风险管理标准，</w:t>
      </w:r>
      <w:r>
        <w:rPr>
          <w:rFonts w:hint="eastAsia" w:eastAsia="仿宋_GB2312"/>
          <w:sz w:val="32"/>
          <w:szCs w:val="32"/>
        </w:rPr>
        <w:t>本行</w:t>
      </w:r>
      <w:r>
        <w:rPr>
          <w:rFonts w:hint="eastAsia" w:ascii="Calibri" w:hAnsi="Calibri" w:eastAsia="仿宋_GB2312" w:cs="Times New Roman"/>
          <w:sz w:val="32"/>
          <w:szCs w:val="32"/>
        </w:rPr>
        <w:t>每季度开展一次流动性风险压力测试，测试模型设置了存款流失、存款准备金率上调、净融入资金受限、贷款不能按期收回四个风险因子，分别设置了轻度压力、中度压力、重度压力三种压力模式。通过开展流动性压力测试，使</w:t>
      </w:r>
      <w:r>
        <w:rPr>
          <w:rFonts w:hint="eastAsia" w:eastAsia="仿宋_GB2312"/>
          <w:sz w:val="32"/>
          <w:szCs w:val="32"/>
        </w:rPr>
        <w:t>本行</w:t>
      </w:r>
      <w:r>
        <w:rPr>
          <w:rFonts w:hint="eastAsia" w:ascii="Calibri" w:hAnsi="Calibri" w:eastAsia="仿宋_GB2312" w:cs="Times New Roman"/>
          <w:sz w:val="32"/>
          <w:szCs w:val="32"/>
        </w:rPr>
        <w:t>能够提前了解流动性状况并采取积极应对措施，避免流动性风险事件发生。</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w:t>
      </w:r>
      <w:r>
        <w:rPr>
          <w:rFonts w:ascii="楷体_GB2312" w:hAnsi="楷体_GB2312" w:eastAsia="楷体_GB2312" w:cs="楷体_GB2312"/>
          <w:b/>
          <w:bCs/>
          <w:sz w:val="32"/>
          <w:szCs w:val="32"/>
        </w:rPr>
        <w:t>市场风险管理</w:t>
      </w:r>
    </w:p>
    <w:p>
      <w:pPr>
        <w:spacing w:line="560" w:lineRule="exact"/>
        <w:ind w:firstLine="640" w:firstLineChars="200"/>
        <w:rPr>
          <w:rFonts w:ascii="仿宋_GB2312" w:eastAsia="仿宋_GB2312"/>
          <w:sz w:val="32"/>
          <w:szCs w:val="32"/>
        </w:rPr>
      </w:pPr>
      <w:r>
        <w:rPr>
          <w:rFonts w:ascii="仿宋_GB2312" w:eastAsia="仿宋_GB2312"/>
          <w:sz w:val="32"/>
          <w:szCs w:val="32"/>
        </w:rPr>
        <w:t>目前本行的市场风险主要表现为利率风险，主要是存款和贷款利率的重新定价风险。为进一步加强利率管理，规范定价行为，建立科学的利率定价决策机制，积极应对利率市场化，努力实现效益目标和可持续发展，成立柯桥联合村镇银行</w:t>
      </w:r>
      <w:r>
        <w:rPr>
          <w:rFonts w:hint="eastAsia" w:ascii="仿宋_GB2312" w:eastAsia="仿宋_GB2312"/>
          <w:sz w:val="32"/>
          <w:szCs w:val="32"/>
        </w:rPr>
        <w:t>市场营销委员会</w:t>
      </w:r>
      <w:r>
        <w:rPr>
          <w:rFonts w:ascii="仿宋_GB2312" w:eastAsia="仿宋_GB2312"/>
          <w:sz w:val="32"/>
          <w:szCs w:val="32"/>
        </w:rPr>
        <w:t>，明确利率定价管理职能，负责市场利率的监测，经营单位申报执行优惠利率的审批、调整、修订利率定价方案，出台临时性利率指导政策等。并明确利率定价管理委员会议事规则、审批权限。</w:t>
      </w:r>
    </w:p>
    <w:p>
      <w:pPr>
        <w:spacing w:line="560" w:lineRule="exact"/>
        <w:ind w:firstLine="640" w:firstLineChars="200"/>
        <w:rPr>
          <w:rFonts w:ascii="仿宋_GB2312" w:eastAsia="仿宋_GB2312"/>
          <w:sz w:val="32"/>
          <w:szCs w:val="32"/>
        </w:rPr>
      </w:pPr>
      <w:r>
        <w:rPr>
          <w:rFonts w:ascii="仿宋_GB2312" w:eastAsia="仿宋_GB2312"/>
          <w:sz w:val="32"/>
          <w:szCs w:val="32"/>
        </w:rPr>
        <w:t>1、贷款利率风险分析。2022年末本行资产收益率4.05%，比上年末下降0.21个百分点，结合我国短期处在贷款利率下降周期趋势以及小微企业</w:t>
      </w:r>
      <w:r>
        <w:rPr>
          <w:rFonts w:hint="eastAsia" w:ascii="仿宋_GB2312" w:eastAsia="仿宋_GB2312"/>
          <w:sz w:val="32"/>
          <w:szCs w:val="32"/>
        </w:rPr>
        <w:t>“</w:t>
      </w:r>
      <w:r>
        <w:rPr>
          <w:rFonts w:ascii="仿宋_GB2312" w:eastAsia="仿宋_GB2312"/>
          <w:sz w:val="32"/>
          <w:szCs w:val="32"/>
        </w:rPr>
        <w:t>减息让利</w:t>
      </w:r>
      <w:r>
        <w:rPr>
          <w:rFonts w:hint="eastAsia" w:ascii="仿宋_GB2312" w:eastAsia="仿宋_GB2312"/>
          <w:sz w:val="32"/>
          <w:szCs w:val="32"/>
        </w:rPr>
        <w:t>”</w:t>
      </w:r>
      <w:r>
        <w:rPr>
          <w:rFonts w:ascii="仿宋_GB2312" w:eastAsia="仿宋_GB2312"/>
          <w:sz w:val="32"/>
          <w:szCs w:val="32"/>
        </w:rPr>
        <w:t>的金融政策，短期内本行贷款利率存在重新定价风险。</w:t>
      </w:r>
    </w:p>
    <w:p>
      <w:pPr>
        <w:spacing w:line="560" w:lineRule="exact"/>
        <w:ind w:firstLine="640" w:firstLineChars="200"/>
        <w:rPr>
          <w:rFonts w:ascii="仿宋_GB2312" w:eastAsia="仿宋_GB2312"/>
          <w:sz w:val="32"/>
          <w:szCs w:val="32"/>
        </w:rPr>
      </w:pPr>
      <w:r>
        <w:rPr>
          <w:rFonts w:ascii="仿宋_GB2312" w:eastAsia="仿宋_GB2312"/>
          <w:sz w:val="32"/>
          <w:szCs w:val="32"/>
        </w:rPr>
        <w:t>2、存款利率风险分析。2022年末本行负债付息率2.47%，比上年末下降0.84个百分点，结合我国短期处在存款利率下降周期内，短期内本行存款利率也存在重新定价风险。</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w:t>
      </w:r>
      <w:r>
        <w:rPr>
          <w:rFonts w:ascii="楷体_GB2312" w:hAnsi="楷体_GB2312" w:eastAsia="楷体_GB2312" w:cs="楷体_GB2312"/>
          <w:b/>
          <w:bCs/>
          <w:sz w:val="32"/>
          <w:szCs w:val="32"/>
        </w:rPr>
        <w:t>操作风险管理</w:t>
      </w:r>
    </w:p>
    <w:p>
      <w:pPr>
        <w:spacing w:line="560" w:lineRule="exact"/>
        <w:ind w:firstLine="640" w:firstLineChars="200"/>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rPr>
        <w:t>2</w:t>
      </w:r>
      <w:r>
        <w:rPr>
          <w:rFonts w:ascii="仿宋_GB2312" w:eastAsia="仿宋_GB2312"/>
          <w:sz w:val="32"/>
          <w:szCs w:val="32"/>
        </w:rPr>
        <w:t>年度本行开展</w:t>
      </w:r>
      <w:r>
        <w:rPr>
          <w:rFonts w:hint="eastAsia" w:ascii="仿宋_GB2312" w:eastAsia="仿宋_GB2312"/>
          <w:sz w:val="32"/>
          <w:szCs w:val="32"/>
        </w:rPr>
        <w:t>“</w:t>
      </w:r>
      <w:r>
        <w:rPr>
          <w:rFonts w:ascii="仿宋_GB2312" w:eastAsia="仿宋_GB2312"/>
          <w:sz w:val="32"/>
          <w:szCs w:val="32"/>
        </w:rPr>
        <w:t>内控与合规固化年</w:t>
      </w:r>
      <w:r>
        <w:rPr>
          <w:rFonts w:hint="eastAsia" w:ascii="仿宋_GB2312" w:eastAsia="仿宋_GB2312"/>
          <w:sz w:val="32"/>
          <w:szCs w:val="32"/>
        </w:rPr>
        <w:t>”</w:t>
      </w:r>
      <w:r>
        <w:rPr>
          <w:rFonts w:ascii="仿宋_GB2312" w:eastAsia="仿宋_GB2312"/>
          <w:sz w:val="32"/>
          <w:szCs w:val="32"/>
        </w:rPr>
        <w:t>活动，深入贯彻落实</w:t>
      </w:r>
      <w:r>
        <w:rPr>
          <w:rFonts w:hint="eastAsia" w:ascii="仿宋_GB2312" w:eastAsia="仿宋_GB2312"/>
          <w:sz w:val="32"/>
          <w:szCs w:val="32"/>
        </w:rPr>
        <w:t>“</w:t>
      </w:r>
      <w:r>
        <w:rPr>
          <w:rFonts w:ascii="仿宋_GB2312" w:eastAsia="仿宋_GB2312"/>
          <w:sz w:val="32"/>
          <w:szCs w:val="32"/>
        </w:rPr>
        <w:t>创建全省银行保险合规建设示范区</w:t>
      </w:r>
      <w:r>
        <w:rPr>
          <w:rFonts w:hint="eastAsia" w:ascii="仿宋_GB2312" w:eastAsia="仿宋_GB2312"/>
          <w:sz w:val="32"/>
          <w:szCs w:val="32"/>
        </w:rPr>
        <w:t>”、“内控合规管理建设年”、“清廉金融文化建设”等工作要求</w:t>
      </w:r>
      <w:r>
        <w:rPr>
          <w:rFonts w:ascii="仿宋_GB2312" w:eastAsia="仿宋_GB2312"/>
          <w:sz w:val="32"/>
          <w:szCs w:val="32"/>
        </w:rPr>
        <w:t>，积极开展案件警示教育、有效落实防控措施，强化操作风险管理，切实提高操作风险的针对性和有效性。强化内控与合规</w:t>
      </w:r>
      <w:r>
        <w:rPr>
          <w:rFonts w:hint="eastAsia" w:ascii="仿宋_GB2312" w:eastAsia="仿宋_GB2312"/>
          <w:sz w:val="32"/>
          <w:szCs w:val="32"/>
        </w:rPr>
        <w:t>“</w:t>
      </w:r>
      <w:r>
        <w:rPr>
          <w:rFonts w:ascii="仿宋_GB2312" w:eastAsia="仿宋_GB2312"/>
          <w:sz w:val="32"/>
          <w:szCs w:val="32"/>
        </w:rPr>
        <w:t>人人有责、人人合规、主动合规、合规创造价值</w:t>
      </w:r>
      <w:r>
        <w:rPr>
          <w:rFonts w:hint="eastAsia" w:ascii="仿宋_GB2312" w:eastAsia="仿宋_GB2312"/>
          <w:sz w:val="32"/>
          <w:szCs w:val="32"/>
        </w:rPr>
        <w:t>”</w:t>
      </w:r>
      <w:r>
        <w:rPr>
          <w:rFonts w:ascii="仿宋_GB2312" w:eastAsia="仿宋_GB2312"/>
          <w:sz w:val="32"/>
          <w:szCs w:val="32"/>
        </w:rPr>
        <w:t>等内控合规理念。</w:t>
      </w:r>
    </w:p>
    <w:p>
      <w:pPr>
        <w:spacing w:line="560" w:lineRule="exact"/>
        <w:ind w:firstLine="643" w:firstLineChars="200"/>
        <w:rPr>
          <w:rFonts w:ascii="仿宋_GB2312" w:eastAsia="仿宋_GB2312"/>
          <w:sz w:val="32"/>
          <w:szCs w:val="32"/>
        </w:rPr>
      </w:pPr>
      <w:r>
        <w:rPr>
          <w:rFonts w:ascii="仿宋_GB2312" w:eastAsia="仿宋_GB2312"/>
          <w:b/>
          <w:bCs/>
          <w:sz w:val="32"/>
          <w:szCs w:val="32"/>
        </w:rPr>
        <w:t>1、内外部检查执行情况。</w:t>
      </w:r>
      <w:r>
        <w:rPr>
          <w:rFonts w:ascii="仿宋_GB2312" w:eastAsia="仿宋_GB2312"/>
          <w:sz w:val="32"/>
          <w:szCs w:val="32"/>
        </w:rPr>
        <w:t>运营条线的检查主要包括日常检查、专项检查和事后监督工作，以及反洗钱、账户管理</w:t>
      </w:r>
      <w:r>
        <w:rPr>
          <w:rFonts w:hint="eastAsia" w:ascii="仿宋_GB2312" w:eastAsia="仿宋_GB2312"/>
          <w:sz w:val="32"/>
          <w:szCs w:val="32"/>
        </w:rPr>
        <w:t>等</w:t>
      </w:r>
      <w:r>
        <w:rPr>
          <w:rFonts w:ascii="仿宋_GB2312" w:eastAsia="仿宋_GB2312"/>
          <w:sz w:val="32"/>
          <w:szCs w:val="32"/>
        </w:rPr>
        <w:t>检查。风险合规部牵头开展各类风险合规大排查，牵头做好贷后电话回访，及时排查贷款不合规现象。内审部年度内开展了反洗钱工作专项审计、关联交易专项审计、员工行为规范专项排查等。针对内外部审计中发现的员工异常行为、内控管理薄弱等方面问题，内审部拟定问题清单，加强整改督促，定期开展回头看。截至2022年末，年内共对82人次进行违规处罚，其中予以开除处分1人、警告处分2人、通报批评2人，绩效扣罚6.27万元。</w:t>
      </w:r>
    </w:p>
    <w:p>
      <w:pPr>
        <w:spacing w:line="560" w:lineRule="exact"/>
        <w:ind w:firstLine="643" w:firstLineChars="200"/>
        <w:rPr>
          <w:rFonts w:ascii="仿宋_GB2312" w:eastAsia="仿宋_GB2312"/>
          <w:sz w:val="32"/>
          <w:szCs w:val="32"/>
        </w:rPr>
      </w:pPr>
      <w:r>
        <w:rPr>
          <w:rFonts w:ascii="仿宋_GB2312" w:eastAsia="仿宋_GB2312"/>
          <w:b/>
          <w:bCs/>
          <w:sz w:val="32"/>
          <w:szCs w:val="32"/>
        </w:rPr>
        <w:t>2、员工行为排查情况。</w:t>
      </w:r>
      <w:r>
        <w:rPr>
          <w:rFonts w:ascii="仿宋_GB2312" w:eastAsia="仿宋_GB2312"/>
          <w:sz w:val="32"/>
          <w:szCs w:val="32"/>
        </w:rPr>
        <w:t>做好员工日常行为排查，及时掌握员工思想动态。开展员工异常行为排查，针对重点岗位、重要人员开展专项排查审计，全面核查可疑情况。组织员工深入学习相关员工行为管理制度，加强对员工的教育和行为动态管理。</w:t>
      </w:r>
    </w:p>
    <w:p>
      <w:pPr>
        <w:spacing w:line="560"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八、重要事项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（一）报告期内，本行无重大诉讼、仲裁事项。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（二）报告期内，本行未发生重大案件、重大差错等情况。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（三）报告期内，本行各项业务合同履行情况正常，无重大合同纠纷发生。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（四）报告期内，除上述信息外，本行无必须要让公众了解的重要信息。</w:t>
      </w:r>
    </w:p>
    <w:p>
      <w:pPr>
        <w:adjustRightInd w:val="0"/>
        <w:snapToGrid w:val="0"/>
        <w:spacing w:line="560" w:lineRule="exact"/>
        <w:ind w:firstLine="640" w:firstLineChars="200"/>
        <w:rPr>
          <w:rFonts w:ascii="仿宋_GB2312" w:eastAsia="仿宋_GB2312"/>
          <w:sz w:val="32"/>
          <w:szCs w:val="32"/>
        </w:rPr>
      </w:pP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附件1：浙江柯桥联合村镇银行股份有限公司2022年度审计报告</w:t>
      </w:r>
    </w:p>
    <w:p>
      <w:pPr>
        <w:adjustRightInd w:val="0"/>
        <w:snapToGrid w:val="0"/>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附件2：浙江柯桥联合村镇银行股份有限公司2022年度薪酬管理情况报告</w:t>
      </w:r>
    </w:p>
    <w:p>
      <w:pPr>
        <w:adjustRightInd w:val="0"/>
        <w:snapToGrid w:val="0"/>
        <w:spacing w:line="560" w:lineRule="exact"/>
        <w:ind w:firstLine="640" w:firstLineChars="200"/>
        <w:rPr>
          <w:rFonts w:hint="eastAsia" w:ascii="仿宋_GB2312" w:eastAsia="仿宋_GB2312"/>
          <w:sz w:val="32"/>
          <w:szCs w:val="32"/>
          <w:highlight w:val="none"/>
        </w:rPr>
      </w:pPr>
    </w:p>
    <w:p>
      <w:pPr>
        <w:adjustRightInd w:val="0"/>
        <w:snapToGrid w:val="0"/>
        <w:spacing w:line="560" w:lineRule="exact"/>
        <w:ind w:firstLine="640" w:firstLineChars="200"/>
        <w:rPr>
          <w:rFonts w:hint="eastAsia" w:ascii="仿宋_GB2312" w:eastAsia="仿宋_GB2312"/>
          <w:sz w:val="32"/>
          <w:szCs w:val="32"/>
          <w:highlight w:val="none"/>
        </w:rPr>
      </w:pPr>
    </w:p>
    <w:p>
      <w:pPr>
        <w:keepNext w:val="0"/>
        <w:keepLines w:val="0"/>
        <w:pageBreakBefore w:val="0"/>
        <w:kinsoku/>
        <w:wordWrap/>
        <w:overflowPunct/>
        <w:topLinePunct w:val="0"/>
        <w:autoSpaceDE/>
        <w:autoSpaceDN/>
        <w:bidi w:val="0"/>
        <w:spacing w:line="560" w:lineRule="exact"/>
        <w:ind w:firstLine="640" w:firstLineChars="200"/>
        <w:jc w:val="right"/>
        <w:textAlignment w:val="auto"/>
        <w:rPr>
          <w:rFonts w:ascii="仿宋_GB2312" w:hAnsi="新宋体" w:eastAsia="仿宋_GB2312"/>
          <w:sz w:val="30"/>
          <w:szCs w:val="30"/>
        </w:rPr>
      </w:pPr>
      <w:r>
        <w:rPr>
          <w:rFonts w:hint="eastAsia" w:eastAsia="仿宋_GB2312"/>
          <w:sz w:val="32"/>
          <w:szCs w:val="32"/>
        </w:rPr>
        <w:t>二〇二</w:t>
      </w:r>
      <w:r>
        <w:rPr>
          <w:rFonts w:hint="eastAsia" w:eastAsia="仿宋_GB2312"/>
          <w:sz w:val="32"/>
          <w:szCs w:val="32"/>
          <w:lang w:eastAsia="zh-CN"/>
        </w:rPr>
        <w:t>三</w:t>
      </w:r>
      <w:r>
        <w:rPr>
          <w:rFonts w:hint="eastAsia" w:eastAsia="仿宋_GB2312"/>
          <w:sz w:val="32"/>
          <w:szCs w:val="32"/>
        </w:rPr>
        <w:t>年四月二十</w:t>
      </w:r>
      <w:r>
        <w:rPr>
          <w:rFonts w:hint="eastAsia" w:eastAsia="仿宋_GB2312"/>
          <w:sz w:val="32"/>
          <w:szCs w:val="32"/>
          <w:lang w:val="en-US" w:eastAsia="zh-CN"/>
        </w:rPr>
        <w:t>八</w:t>
      </w:r>
      <w:r>
        <w:rPr>
          <w:rFonts w:hint="eastAsia" w:eastAsia="仿宋_GB2312"/>
          <w:sz w:val="32"/>
          <w:szCs w:val="32"/>
        </w:rPr>
        <w:t>日</w:t>
      </w:r>
    </w:p>
    <w:sectPr>
      <w:headerReference r:id="rId3" w:type="even"/>
      <w:footerReference r:id="rId4" w:type="even"/>
      <w:pgSz w:w="11906" w:h="16838"/>
      <w:pgMar w:top="2098" w:right="1474" w:bottom="1984" w:left="1587"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IzYWI3N2IzNTRiODc5OGZiMWYwYWQ5MTM1MGEwMTcifQ=="/>
  </w:docVars>
  <w:rsids>
    <w:rsidRoot w:val="0002666F"/>
    <w:rsid w:val="000041E6"/>
    <w:rsid w:val="00007B5D"/>
    <w:rsid w:val="00010346"/>
    <w:rsid w:val="000160B3"/>
    <w:rsid w:val="0002666F"/>
    <w:rsid w:val="000431F8"/>
    <w:rsid w:val="00046593"/>
    <w:rsid w:val="00084B5C"/>
    <w:rsid w:val="00093023"/>
    <w:rsid w:val="000C6ABD"/>
    <w:rsid w:val="000D0C86"/>
    <w:rsid w:val="000D21A1"/>
    <w:rsid w:val="000E6F91"/>
    <w:rsid w:val="000F4F80"/>
    <w:rsid w:val="00104CE1"/>
    <w:rsid w:val="001148D3"/>
    <w:rsid w:val="001255F1"/>
    <w:rsid w:val="001343C6"/>
    <w:rsid w:val="001418DB"/>
    <w:rsid w:val="00150789"/>
    <w:rsid w:val="00154F46"/>
    <w:rsid w:val="001748AB"/>
    <w:rsid w:val="00175773"/>
    <w:rsid w:val="001A32E9"/>
    <w:rsid w:val="001A3C0E"/>
    <w:rsid w:val="001B0856"/>
    <w:rsid w:val="001B757A"/>
    <w:rsid w:val="001C6A90"/>
    <w:rsid w:val="001D10CD"/>
    <w:rsid w:val="001D2342"/>
    <w:rsid w:val="001E4EE7"/>
    <w:rsid w:val="00217897"/>
    <w:rsid w:val="00234E59"/>
    <w:rsid w:val="00252A42"/>
    <w:rsid w:val="00252C89"/>
    <w:rsid w:val="00257F87"/>
    <w:rsid w:val="002818E4"/>
    <w:rsid w:val="002911A4"/>
    <w:rsid w:val="002A1988"/>
    <w:rsid w:val="002A1DB7"/>
    <w:rsid w:val="002A3324"/>
    <w:rsid w:val="002A6353"/>
    <w:rsid w:val="002A6994"/>
    <w:rsid w:val="002B68A2"/>
    <w:rsid w:val="002C10FA"/>
    <w:rsid w:val="002C3F55"/>
    <w:rsid w:val="002D0B9C"/>
    <w:rsid w:val="002D4283"/>
    <w:rsid w:val="002F0003"/>
    <w:rsid w:val="002F0152"/>
    <w:rsid w:val="002F7168"/>
    <w:rsid w:val="00314673"/>
    <w:rsid w:val="00316EFE"/>
    <w:rsid w:val="00334546"/>
    <w:rsid w:val="003624A1"/>
    <w:rsid w:val="0036329B"/>
    <w:rsid w:val="003678ED"/>
    <w:rsid w:val="003725D0"/>
    <w:rsid w:val="00381B14"/>
    <w:rsid w:val="00387D34"/>
    <w:rsid w:val="0039221B"/>
    <w:rsid w:val="00393AC0"/>
    <w:rsid w:val="003952A0"/>
    <w:rsid w:val="003C149B"/>
    <w:rsid w:val="003C49FA"/>
    <w:rsid w:val="00414826"/>
    <w:rsid w:val="00427BBE"/>
    <w:rsid w:val="0043148C"/>
    <w:rsid w:val="004508D3"/>
    <w:rsid w:val="00453948"/>
    <w:rsid w:val="00492553"/>
    <w:rsid w:val="00492C1B"/>
    <w:rsid w:val="004A0351"/>
    <w:rsid w:val="004A15FC"/>
    <w:rsid w:val="004B4AF2"/>
    <w:rsid w:val="004E148A"/>
    <w:rsid w:val="004F6865"/>
    <w:rsid w:val="00500108"/>
    <w:rsid w:val="005026A6"/>
    <w:rsid w:val="00510491"/>
    <w:rsid w:val="00534D10"/>
    <w:rsid w:val="00534FDE"/>
    <w:rsid w:val="0053526A"/>
    <w:rsid w:val="005364DA"/>
    <w:rsid w:val="005419D9"/>
    <w:rsid w:val="005537F6"/>
    <w:rsid w:val="005A4E5F"/>
    <w:rsid w:val="005B4364"/>
    <w:rsid w:val="005C2776"/>
    <w:rsid w:val="005D0034"/>
    <w:rsid w:val="005D2BC2"/>
    <w:rsid w:val="005F1ACD"/>
    <w:rsid w:val="005F4986"/>
    <w:rsid w:val="00612D37"/>
    <w:rsid w:val="00630D50"/>
    <w:rsid w:val="00643FA3"/>
    <w:rsid w:val="00646299"/>
    <w:rsid w:val="006647A2"/>
    <w:rsid w:val="00666800"/>
    <w:rsid w:val="00672656"/>
    <w:rsid w:val="00673B9B"/>
    <w:rsid w:val="00673C53"/>
    <w:rsid w:val="0067419F"/>
    <w:rsid w:val="00675CAD"/>
    <w:rsid w:val="00697119"/>
    <w:rsid w:val="006A76DB"/>
    <w:rsid w:val="006B3B9C"/>
    <w:rsid w:val="006B445C"/>
    <w:rsid w:val="006B4F1E"/>
    <w:rsid w:val="006C1368"/>
    <w:rsid w:val="006C177F"/>
    <w:rsid w:val="006C4417"/>
    <w:rsid w:val="006D2CAD"/>
    <w:rsid w:val="007075F9"/>
    <w:rsid w:val="007169DE"/>
    <w:rsid w:val="0072475A"/>
    <w:rsid w:val="00732665"/>
    <w:rsid w:val="00757975"/>
    <w:rsid w:val="00762428"/>
    <w:rsid w:val="00785C1D"/>
    <w:rsid w:val="0078787A"/>
    <w:rsid w:val="007B22C7"/>
    <w:rsid w:val="007B6B23"/>
    <w:rsid w:val="007D031A"/>
    <w:rsid w:val="007E7E34"/>
    <w:rsid w:val="008057B2"/>
    <w:rsid w:val="00805FEE"/>
    <w:rsid w:val="00810489"/>
    <w:rsid w:val="00824F23"/>
    <w:rsid w:val="0082642D"/>
    <w:rsid w:val="0082647F"/>
    <w:rsid w:val="00847371"/>
    <w:rsid w:val="0085162A"/>
    <w:rsid w:val="008720E1"/>
    <w:rsid w:val="00876E4D"/>
    <w:rsid w:val="0088000E"/>
    <w:rsid w:val="008869D8"/>
    <w:rsid w:val="008B020F"/>
    <w:rsid w:val="008B6671"/>
    <w:rsid w:val="008C437E"/>
    <w:rsid w:val="008D13DE"/>
    <w:rsid w:val="008E6299"/>
    <w:rsid w:val="008F0B27"/>
    <w:rsid w:val="00925728"/>
    <w:rsid w:val="00935BDA"/>
    <w:rsid w:val="009807BA"/>
    <w:rsid w:val="00984E42"/>
    <w:rsid w:val="009B20D7"/>
    <w:rsid w:val="009C124B"/>
    <w:rsid w:val="009C27F4"/>
    <w:rsid w:val="009D26FE"/>
    <w:rsid w:val="009D4420"/>
    <w:rsid w:val="009F3FC7"/>
    <w:rsid w:val="009F66A2"/>
    <w:rsid w:val="00A03BCA"/>
    <w:rsid w:val="00A06D57"/>
    <w:rsid w:val="00A2213D"/>
    <w:rsid w:val="00A24D1F"/>
    <w:rsid w:val="00A365E0"/>
    <w:rsid w:val="00A529CD"/>
    <w:rsid w:val="00A62C2D"/>
    <w:rsid w:val="00AD3863"/>
    <w:rsid w:val="00B33C14"/>
    <w:rsid w:val="00B37CC8"/>
    <w:rsid w:val="00B52618"/>
    <w:rsid w:val="00B546C1"/>
    <w:rsid w:val="00B5566E"/>
    <w:rsid w:val="00B60E36"/>
    <w:rsid w:val="00B633A8"/>
    <w:rsid w:val="00B76F92"/>
    <w:rsid w:val="00B90D5C"/>
    <w:rsid w:val="00BC040D"/>
    <w:rsid w:val="00BD3116"/>
    <w:rsid w:val="00BD53D9"/>
    <w:rsid w:val="00BE2039"/>
    <w:rsid w:val="00BE56A2"/>
    <w:rsid w:val="00BF4AD3"/>
    <w:rsid w:val="00C11E75"/>
    <w:rsid w:val="00C12B6D"/>
    <w:rsid w:val="00C26F56"/>
    <w:rsid w:val="00C31190"/>
    <w:rsid w:val="00C369B2"/>
    <w:rsid w:val="00C42E09"/>
    <w:rsid w:val="00C929CB"/>
    <w:rsid w:val="00CB054F"/>
    <w:rsid w:val="00CC60D3"/>
    <w:rsid w:val="00CE4BCC"/>
    <w:rsid w:val="00D02C51"/>
    <w:rsid w:val="00D20F54"/>
    <w:rsid w:val="00D33EF3"/>
    <w:rsid w:val="00D35775"/>
    <w:rsid w:val="00D469FF"/>
    <w:rsid w:val="00D5026C"/>
    <w:rsid w:val="00D55CF3"/>
    <w:rsid w:val="00D6324C"/>
    <w:rsid w:val="00D67D92"/>
    <w:rsid w:val="00D71CD8"/>
    <w:rsid w:val="00DA5796"/>
    <w:rsid w:val="00DC3D62"/>
    <w:rsid w:val="00DC6AA2"/>
    <w:rsid w:val="00DC7B89"/>
    <w:rsid w:val="00DE226E"/>
    <w:rsid w:val="00DF5277"/>
    <w:rsid w:val="00E30ABC"/>
    <w:rsid w:val="00E33866"/>
    <w:rsid w:val="00E46217"/>
    <w:rsid w:val="00E62B8C"/>
    <w:rsid w:val="00E84561"/>
    <w:rsid w:val="00ED2065"/>
    <w:rsid w:val="00ED314A"/>
    <w:rsid w:val="00EE459E"/>
    <w:rsid w:val="00EE7903"/>
    <w:rsid w:val="00EF1A36"/>
    <w:rsid w:val="00EF4AB7"/>
    <w:rsid w:val="00F12FED"/>
    <w:rsid w:val="00F139C5"/>
    <w:rsid w:val="00F16B2F"/>
    <w:rsid w:val="00F20DEE"/>
    <w:rsid w:val="00F21E68"/>
    <w:rsid w:val="00F3242F"/>
    <w:rsid w:val="00F36DD2"/>
    <w:rsid w:val="00F409CA"/>
    <w:rsid w:val="00F52FA7"/>
    <w:rsid w:val="00F62C26"/>
    <w:rsid w:val="00F72301"/>
    <w:rsid w:val="00FA6D6E"/>
    <w:rsid w:val="00FB3643"/>
    <w:rsid w:val="00FC32C7"/>
    <w:rsid w:val="00FC5C0A"/>
    <w:rsid w:val="128A2ED3"/>
    <w:rsid w:val="14BE559A"/>
    <w:rsid w:val="164A25FD"/>
    <w:rsid w:val="1A5D5460"/>
    <w:rsid w:val="1A9E3B5C"/>
    <w:rsid w:val="252D7BB2"/>
    <w:rsid w:val="2AF56830"/>
    <w:rsid w:val="2F7B73E3"/>
    <w:rsid w:val="30E7246F"/>
    <w:rsid w:val="31103E18"/>
    <w:rsid w:val="3C603659"/>
    <w:rsid w:val="3F864960"/>
    <w:rsid w:val="4BA85166"/>
    <w:rsid w:val="4FA0001B"/>
    <w:rsid w:val="504524B8"/>
    <w:rsid w:val="566232A1"/>
    <w:rsid w:val="57A92DAF"/>
    <w:rsid w:val="59CF4E2D"/>
    <w:rsid w:val="5FAC33B4"/>
    <w:rsid w:val="6A2929B0"/>
    <w:rsid w:val="7E370B4D"/>
    <w:rsid w:val="95F971D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8"/>
    <w:semiHidden/>
    <w:qFormat/>
    <w:uiPriority w:val="0"/>
    <w:pPr>
      <w:shd w:val="clear" w:color="auto" w:fill="000080"/>
    </w:pPr>
    <w:rPr>
      <w:rFonts w:ascii="Times New Roman" w:hAnsi="Times New Roman" w:eastAsia="宋体" w:cs="Times New Roman"/>
      <w:szCs w:val="24"/>
    </w:rPr>
  </w:style>
  <w:style w:type="paragraph" w:styleId="3">
    <w:name w:val="annotation text"/>
    <w:basedOn w:val="1"/>
    <w:link w:val="21"/>
    <w:semiHidden/>
    <w:unhideWhenUsed/>
    <w:qFormat/>
    <w:uiPriority w:val="99"/>
    <w:pPr>
      <w:jc w:val="left"/>
    </w:pPr>
  </w:style>
  <w:style w:type="paragraph" w:styleId="4">
    <w:name w:val="Date"/>
    <w:basedOn w:val="1"/>
    <w:next w:val="1"/>
    <w:link w:val="23"/>
    <w:semiHidden/>
    <w:unhideWhenUsed/>
    <w:qFormat/>
    <w:uiPriority w:val="99"/>
    <w:pPr>
      <w:ind w:left="100" w:leftChars="2500"/>
    </w:pPr>
  </w:style>
  <w:style w:type="paragraph" w:styleId="5">
    <w:name w:val="Balloon Text"/>
    <w:basedOn w:val="1"/>
    <w:link w:val="20"/>
    <w:semiHidden/>
    <w:qFormat/>
    <w:uiPriority w:val="0"/>
    <w:rPr>
      <w:rFonts w:ascii="Times New Roman" w:hAnsi="Times New Roman" w:eastAsia="宋体" w:cs="Times New Roman"/>
      <w:sz w:val="18"/>
      <w:szCs w:val="18"/>
    </w:rPr>
  </w:style>
  <w:style w:type="paragraph" w:styleId="6">
    <w:name w:val="footer"/>
    <w:basedOn w:val="1"/>
    <w:link w:val="17"/>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8">
    <w:name w:val="footnote text"/>
    <w:basedOn w:val="1"/>
    <w:link w:val="24"/>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Normal (Web)"/>
    <w:basedOn w:val="1"/>
    <w:qFormat/>
    <w:uiPriority w:val="99"/>
    <w:rPr>
      <w:sz w:val="24"/>
    </w:rPr>
  </w:style>
  <w:style w:type="paragraph" w:styleId="10">
    <w:name w:val="annotation subject"/>
    <w:basedOn w:val="3"/>
    <w:next w:val="3"/>
    <w:link w:val="22"/>
    <w:semiHidden/>
    <w:unhideWhenUsed/>
    <w:qFormat/>
    <w:uiPriority w:val="99"/>
    <w:rPr>
      <w:b/>
      <w:bCs/>
    </w:rPr>
  </w:style>
  <w:style w:type="character" w:styleId="13">
    <w:name w:val="page number"/>
    <w:basedOn w:val="12"/>
    <w:qFormat/>
    <w:uiPriority w:val="0"/>
  </w:style>
  <w:style w:type="character" w:styleId="14">
    <w:name w:val="Hyperlink"/>
    <w:basedOn w:val="12"/>
    <w:qFormat/>
    <w:uiPriority w:val="99"/>
    <w:rPr>
      <w:color w:val="005DA2"/>
      <w:u w:val="none"/>
    </w:rPr>
  </w:style>
  <w:style w:type="character" w:styleId="15">
    <w:name w:val="annotation reference"/>
    <w:basedOn w:val="12"/>
    <w:semiHidden/>
    <w:unhideWhenUsed/>
    <w:qFormat/>
    <w:uiPriority w:val="99"/>
    <w:rPr>
      <w:sz w:val="21"/>
      <w:szCs w:val="21"/>
    </w:rPr>
  </w:style>
  <w:style w:type="character" w:customStyle="1" w:styleId="16">
    <w:name w:val="页眉 Char"/>
    <w:basedOn w:val="12"/>
    <w:link w:val="7"/>
    <w:qFormat/>
    <w:uiPriority w:val="0"/>
    <w:rPr>
      <w:rFonts w:ascii="Times New Roman" w:hAnsi="Times New Roman" w:eastAsia="宋体" w:cs="Times New Roman"/>
      <w:sz w:val="18"/>
      <w:szCs w:val="18"/>
    </w:rPr>
  </w:style>
  <w:style w:type="character" w:customStyle="1" w:styleId="17">
    <w:name w:val="页脚 Char"/>
    <w:basedOn w:val="12"/>
    <w:link w:val="6"/>
    <w:qFormat/>
    <w:uiPriority w:val="0"/>
    <w:rPr>
      <w:rFonts w:ascii="Times New Roman" w:hAnsi="Times New Roman" w:eastAsia="宋体" w:cs="Times New Roman"/>
      <w:sz w:val="18"/>
      <w:szCs w:val="18"/>
    </w:rPr>
  </w:style>
  <w:style w:type="character" w:customStyle="1" w:styleId="18">
    <w:name w:val="文档结构图 Char"/>
    <w:basedOn w:val="12"/>
    <w:link w:val="2"/>
    <w:semiHidden/>
    <w:qFormat/>
    <w:uiPriority w:val="0"/>
    <w:rPr>
      <w:rFonts w:ascii="Times New Roman" w:hAnsi="Times New Roman" w:eastAsia="宋体" w:cs="Times New Roman"/>
      <w:szCs w:val="24"/>
      <w:shd w:val="clear" w:color="auto" w:fill="000080"/>
    </w:rPr>
  </w:style>
  <w:style w:type="paragraph" w:styleId="19">
    <w:name w:val="List Paragraph"/>
    <w:basedOn w:val="1"/>
    <w:qFormat/>
    <w:uiPriority w:val="0"/>
    <w:pPr>
      <w:ind w:firstLine="420" w:firstLineChars="200"/>
    </w:pPr>
    <w:rPr>
      <w:rFonts w:ascii="Times New Roman" w:hAnsi="Times New Roman" w:eastAsia="宋体" w:cs="Times New Roman"/>
      <w:szCs w:val="24"/>
    </w:rPr>
  </w:style>
  <w:style w:type="character" w:customStyle="1" w:styleId="20">
    <w:name w:val="批注框文本 Char"/>
    <w:basedOn w:val="12"/>
    <w:link w:val="5"/>
    <w:semiHidden/>
    <w:qFormat/>
    <w:uiPriority w:val="0"/>
    <w:rPr>
      <w:rFonts w:ascii="Times New Roman" w:hAnsi="Times New Roman" w:eastAsia="宋体" w:cs="Times New Roman"/>
      <w:sz w:val="18"/>
      <w:szCs w:val="18"/>
    </w:rPr>
  </w:style>
  <w:style w:type="character" w:customStyle="1" w:styleId="21">
    <w:name w:val="批注文字 Char"/>
    <w:basedOn w:val="12"/>
    <w:link w:val="3"/>
    <w:semiHidden/>
    <w:qFormat/>
    <w:uiPriority w:val="99"/>
  </w:style>
  <w:style w:type="character" w:customStyle="1" w:styleId="22">
    <w:name w:val="批注主题 Char"/>
    <w:basedOn w:val="21"/>
    <w:link w:val="10"/>
    <w:semiHidden/>
    <w:qFormat/>
    <w:uiPriority w:val="99"/>
    <w:rPr>
      <w:b/>
      <w:bCs/>
    </w:rPr>
  </w:style>
  <w:style w:type="character" w:customStyle="1" w:styleId="23">
    <w:name w:val="日期 Char"/>
    <w:basedOn w:val="12"/>
    <w:link w:val="4"/>
    <w:semiHidden/>
    <w:qFormat/>
    <w:uiPriority w:val="99"/>
  </w:style>
  <w:style w:type="character" w:customStyle="1" w:styleId="24">
    <w:name w:val="脚注文本 Char"/>
    <w:basedOn w:val="12"/>
    <w:link w:val="8"/>
    <w:semiHidden/>
    <w:qFormat/>
    <w:uiPriority w:val="99"/>
    <w:rPr>
      <w:rFonts w:ascii="宋体" w:hAnsi="宋体" w:eastAsia="宋体" w:cs="宋体"/>
      <w:kern w:val="0"/>
      <w:sz w:val="24"/>
      <w:szCs w:val="24"/>
    </w:rPr>
  </w:style>
  <w:style w:type="character" w:customStyle="1" w:styleId="25">
    <w:name w:val="font01"/>
    <w:basedOn w:val="12"/>
    <w:qFormat/>
    <w:uiPriority w:val="0"/>
    <w:rPr>
      <w:rFonts w:hint="eastAsia" w:ascii="仿宋_GB2312" w:eastAsia="仿宋_GB2312" w:cs="仿宋_GB2312"/>
      <w:color w:val="000000"/>
      <w:sz w:val="21"/>
      <w:szCs w:val="21"/>
      <w:u w:val="none"/>
    </w:rPr>
  </w:style>
  <w:style w:type="character" w:customStyle="1" w:styleId="26">
    <w:name w:val="font51"/>
    <w:basedOn w:val="12"/>
    <w:qFormat/>
    <w:uiPriority w:val="0"/>
    <w:rPr>
      <w:rFonts w:hint="eastAsia" w:ascii="宋体" w:hAnsi="宋体" w:eastAsia="宋体" w:cs="宋体"/>
      <w:color w:val="000000"/>
      <w:sz w:val="24"/>
      <w:szCs w:val="24"/>
      <w:u w:val="none"/>
    </w:rPr>
  </w:style>
  <w:style w:type="character" w:customStyle="1" w:styleId="27">
    <w:name w:val="font4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26</Pages>
  <Words>10340</Words>
  <Characters>13579</Characters>
  <Lines>108</Lines>
  <Paragraphs>30</Paragraphs>
  <TotalTime>13</TotalTime>
  <ScaleCrop>false</ScaleCrop>
  <LinksUpToDate>false</LinksUpToDate>
  <CharactersWithSpaces>15753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2023-04-05T00:37:00Z</dcterms:created>
  <dc:creator>USER</dc:creator>
  <cp:lastModifiedBy>南</cp:lastModifiedBy>
  <cp:lastPrinted>2021-04-21T15:57:00Z</cp:lastPrinted>
  <dcterms:modified xsi:type="dcterms:W3CDTF">2023-04-27T08:34:36Z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D079A2D1852C49959D12E61E9FDE364E</vt:lpwstr>
  </property>
</Properties>
</file>